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5778"/>
        <w:gridCol w:w="3226"/>
      </w:tblGrid>
      <w:tr w:rsidR="00A56F5F" w14:paraId="59B56C83" w14:textId="77777777">
        <w:tc>
          <w:tcPr>
            <w:tcW w:w="5778" w:type="dxa"/>
            <w:tcBorders>
              <w:top w:val="nil"/>
              <w:left w:val="nil"/>
              <w:bottom w:val="nil"/>
              <w:right w:val="nil"/>
            </w:tcBorders>
          </w:tcPr>
          <w:p w14:paraId="5C0FFAF2" w14:textId="29820DF5" w:rsidR="00A56F5F" w:rsidRDefault="003D1B9B">
            <w:r>
              <w:rPr>
                <w:sz w:val="22"/>
              </w:rPr>
              <w:t>Naziv obveznika: Ekonomska škola Pula</w:t>
            </w:r>
          </w:p>
          <w:p w14:paraId="789D5CD6" w14:textId="77777777" w:rsidR="000B2F61" w:rsidRDefault="000B2F61">
            <w:pPr>
              <w:rPr>
                <w:sz w:val="22"/>
              </w:rPr>
            </w:pPr>
            <w:r>
              <w:rPr>
                <w:sz w:val="22"/>
              </w:rPr>
              <w:t>Broj RKP-a: 17466</w:t>
            </w:r>
          </w:p>
          <w:p w14:paraId="3578AFD4" w14:textId="6F6C42D1" w:rsidR="000B2F61" w:rsidRDefault="000B2F61">
            <w:pPr>
              <w:rPr>
                <w:sz w:val="22"/>
              </w:rPr>
            </w:pPr>
            <w:r>
              <w:rPr>
                <w:sz w:val="22"/>
              </w:rPr>
              <w:t>Matični broj: 03999351</w:t>
            </w:r>
          </w:p>
          <w:p w14:paraId="34004BF2" w14:textId="76727BD1" w:rsidR="000B2F61" w:rsidRDefault="000B2F61">
            <w:pPr>
              <w:rPr>
                <w:sz w:val="22"/>
              </w:rPr>
            </w:pPr>
            <w:r>
              <w:rPr>
                <w:sz w:val="22"/>
              </w:rPr>
              <w:t>OIB: 47059499324</w:t>
            </w:r>
          </w:p>
          <w:p w14:paraId="57260AE0" w14:textId="0E4F9C96" w:rsidR="000B2F61" w:rsidRDefault="000B2F61">
            <w:pPr>
              <w:rPr>
                <w:sz w:val="22"/>
              </w:rPr>
            </w:pPr>
            <w:r>
              <w:rPr>
                <w:sz w:val="22"/>
              </w:rPr>
              <w:t>Adresa sjedišta: Kovačićeva 3, 52100 Pula</w:t>
            </w:r>
          </w:p>
          <w:p w14:paraId="64B9C73B" w14:textId="18C4157A" w:rsidR="00A56F5F" w:rsidRDefault="003D1B9B">
            <w:r>
              <w:rPr>
                <w:sz w:val="22"/>
              </w:rPr>
              <w:t>Razina: 31</w:t>
            </w:r>
          </w:p>
          <w:p w14:paraId="461D0B09" w14:textId="19CD08CE" w:rsidR="00A56F5F" w:rsidRDefault="003D1B9B">
            <w:pPr>
              <w:rPr>
                <w:sz w:val="22"/>
              </w:rPr>
            </w:pPr>
            <w:r>
              <w:rPr>
                <w:sz w:val="22"/>
              </w:rPr>
              <w:t>Razdjel: 0</w:t>
            </w:r>
            <w:r w:rsidR="000B2F61">
              <w:rPr>
                <w:sz w:val="22"/>
              </w:rPr>
              <w:t>00</w:t>
            </w:r>
          </w:p>
          <w:p w14:paraId="0F0E0C1A" w14:textId="78A56D79" w:rsidR="000B2F61" w:rsidRDefault="000B2F61">
            <w:pPr>
              <w:rPr>
                <w:sz w:val="22"/>
              </w:rPr>
            </w:pPr>
            <w:r>
              <w:rPr>
                <w:sz w:val="22"/>
              </w:rPr>
              <w:t>Šifra djelatnosti: 8532</w:t>
            </w:r>
          </w:p>
          <w:p w14:paraId="40A4DE45" w14:textId="19D0FE3B" w:rsidR="000B2F61" w:rsidRDefault="000B2F61">
            <w:r>
              <w:rPr>
                <w:sz w:val="22"/>
              </w:rPr>
              <w:t>Šifra županije: 18</w:t>
            </w:r>
          </w:p>
          <w:p w14:paraId="633D219F" w14:textId="1796E03C" w:rsidR="00A56F5F" w:rsidRDefault="003D1B9B">
            <w:r>
              <w:rPr>
                <w:sz w:val="22"/>
              </w:rPr>
              <w:t xml:space="preserve">Šifra </w:t>
            </w:r>
            <w:r w:rsidR="000B2F61">
              <w:rPr>
                <w:sz w:val="22"/>
              </w:rPr>
              <w:t>grada</w:t>
            </w:r>
            <w:r>
              <w:rPr>
                <w:sz w:val="22"/>
              </w:rPr>
              <w:t>: 359</w:t>
            </w:r>
          </w:p>
          <w:p w14:paraId="3B3FCA4C" w14:textId="77777777" w:rsidR="00A56F5F" w:rsidRDefault="00A56F5F"/>
        </w:tc>
        <w:tc>
          <w:tcPr>
            <w:tcW w:w="3226" w:type="dxa"/>
            <w:tcBorders>
              <w:top w:val="nil"/>
              <w:left w:val="nil"/>
              <w:bottom w:val="nil"/>
              <w:right w:val="nil"/>
            </w:tcBorders>
          </w:tcPr>
          <w:p w14:paraId="68F3529E" w14:textId="77777777" w:rsidR="00A56F5F" w:rsidRDefault="00A56F5F" w:rsidP="000B2F61"/>
        </w:tc>
      </w:tr>
      <w:tr w:rsidR="00A56F5F" w14:paraId="3FF88399" w14:textId="77777777">
        <w:tc>
          <w:tcPr>
            <w:tcW w:w="5778" w:type="dxa"/>
            <w:tcBorders>
              <w:top w:val="nil"/>
              <w:left w:val="nil"/>
              <w:bottom w:val="nil"/>
              <w:right w:val="nil"/>
            </w:tcBorders>
          </w:tcPr>
          <w:p w14:paraId="2010B3C2" w14:textId="77777777" w:rsidR="00A56F5F" w:rsidRDefault="00A56F5F"/>
        </w:tc>
        <w:tc>
          <w:tcPr>
            <w:tcW w:w="3226" w:type="dxa"/>
            <w:tcBorders>
              <w:top w:val="nil"/>
              <w:left w:val="nil"/>
              <w:bottom w:val="nil"/>
              <w:right w:val="nil"/>
            </w:tcBorders>
          </w:tcPr>
          <w:p w14:paraId="3BCCEEF8" w14:textId="77777777" w:rsidR="00A56F5F" w:rsidRDefault="00A56F5F"/>
        </w:tc>
      </w:tr>
    </w:tbl>
    <w:p w14:paraId="3BDD66D0" w14:textId="77777777" w:rsidR="00A56F5F" w:rsidRDefault="00A56F5F">
      <w:pPr>
        <w:rPr>
          <w:sz w:val="22"/>
        </w:rPr>
      </w:pPr>
    </w:p>
    <w:p w14:paraId="37BE186C" w14:textId="77777777" w:rsidR="00A56F5F" w:rsidRDefault="00A56F5F">
      <w:pPr>
        <w:rPr>
          <w:sz w:val="22"/>
        </w:rPr>
      </w:pPr>
    </w:p>
    <w:p w14:paraId="25CE8C6B" w14:textId="77777777" w:rsidR="000B2F61" w:rsidRDefault="003D1B9B">
      <w:pPr>
        <w:jc w:val="center"/>
        <w:rPr>
          <w:b/>
          <w:sz w:val="22"/>
        </w:rPr>
      </w:pPr>
      <w:r>
        <w:rPr>
          <w:b/>
          <w:sz w:val="22"/>
        </w:rPr>
        <w:t xml:space="preserve">BILJEŠKE </w:t>
      </w:r>
      <w:r w:rsidR="000B2F61">
        <w:rPr>
          <w:b/>
          <w:sz w:val="22"/>
        </w:rPr>
        <w:t>u</w:t>
      </w:r>
      <w:r>
        <w:rPr>
          <w:b/>
          <w:sz w:val="22"/>
        </w:rPr>
        <w:t>z</w:t>
      </w:r>
      <w:r w:rsidR="000B2F61">
        <w:rPr>
          <w:b/>
          <w:sz w:val="22"/>
        </w:rPr>
        <w:t xml:space="preserve"> financijski </w:t>
      </w:r>
      <w:r>
        <w:rPr>
          <w:b/>
          <w:sz w:val="22"/>
        </w:rPr>
        <w:t xml:space="preserve">izvještaj za razdoblje </w:t>
      </w:r>
    </w:p>
    <w:p w14:paraId="1AEA1233" w14:textId="446D07BC" w:rsidR="00A56F5F" w:rsidRDefault="003D1B9B">
      <w:pPr>
        <w:jc w:val="center"/>
        <w:rPr>
          <w:b/>
          <w:sz w:val="22"/>
        </w:rPr>
      </w:pPr>
      <w:r>
        <w:rPr>
          <w:b/>
          <w:sz w:val="22"/>
        </w:rPr>
        <w:t>od 1. siječnja do 31. prosinca 202</w:t>
      </w:r>
      <w:r w:rsidR="00E02123">
        <w:rPr>
          <w:b/>
          <w:sz w:val="22"/>
        </w:rPr>
        <w:t>4</w:t>
      </w:r>
      <w:r>
        <w:rPr>
          <w:b/>
          <w:sz w:val="22"/>
        </w:rPr>
        <w:t>. godine</w:t>
      </w:r>
    </w:p>
    <w:p w14:paraId="20C8F483" w14:textId="77777777" w:rsidR="00A56F5F" w:rsidRDefault="00A56F5F">
      <w:pPr>
        <w:jc w:val="center"/>
        <w:rPr>
          <w:b/>
          <w:sz w:val="22"/>
        </w:rPr>
      </w:pPr>
    </w:p>
    <w:p w14:paraId="785EA46C" w14:textId="77777777" w:rsidR="000B2F61" w:rsidRPr="005E6F5C" w:rsidRDefault="000B2F61" w:rsidP="000B2F61">
      <w:pPr>
        <w:rPr>
          <w:b/>
        </w:rPr>
      </w:pPr>
      <w:r w:rsidRPr="005E6F5C">
        <w:t>Ekonomska škola Pula je srednjoškolska odgojno-obrazovna ustanova koja obrazuje</w:t>
      </w:r>
    </w:p>
    <w:p w14:paraId="61D6CCBA" w14:textId="77777777" w:rsidR="000B2F61" w:rsidRPr="005E6F5C" w:rsidRDefault="000B2F61" w:rsidP="000B2F61">
      <w:pPr>
        <w:contextualSpacing/>
        <w:jc w:val="both"/>
      </w:pPr>
      <w:r w:rsidRPr="005E6F5C">
        <w:t xml:space="preserve">učenike u četverogodišnjim obrazovnim programima iz sektora ekonomije, trgovine i poslovne administracije za zanimanja ekonomist i poslovni tajnik. </w:t>
      </w:r>
    </w:p>
    <w:p w14:paraId="0878E167" w14:textId="7D0974D5" w:rsidR="000B2F61" w:rsidRPr="005E6F5C" w:rsidRDefault="000B2F61" w:rsidP="000B2F61">
      <w:pPr>
        <w:contextualSpacing/>
        <w:jc w:val="both"/>
        <w:rPr>
          <w:lang w:val="de-DE"/>
        </w:rPr>
      </w:pPr>
      <w:r w:rsidRPr="005E6F5C">
        <w:t>Ekonomska škola Pula o</w:t>
      </w:r>
      <w:r w:rsidRPr="005E6F5C">
        <w:rPr>
          <w:lang w:val="de-DE"/>
        </w:rPr>
        <w:t>snovana je Odlukom Skupštine Županije o prestanku postojanja Škole u društvenim djelatnostima Pula i osnivanju Gimn</w:t>
      </w:r>
      <w:r w:rsidR="00BF297E">
        <w:rPr>
          <w:lang w:val="de-DE"/>
        </w:rPr>
        <w:t>a</w:t>
      </w:r>
      <w:r w:rsidRPr="005E6F5C">
        <w:rPr>
          <w:lang w:val="de-DE"/>
        </w:rPr>
        <w:t xml:space="preserve">zije, Ekonomske škole i Medicinske škole, od 25.6.1992. godine. </w:t>
      </w:r>
    </w:p>
    <w:p w14:paraId="206BDA20" w14:textId="77777777" w:rsidR="000B2F61" w:rsidRPr="005E6F5C" w:rsidRDefault="000B2F61" w:rsidP="000B2F61">
      <w:pPr>
        <w:contextualSpacing/>
        <w:jc w:val="both"/>
      </w:pPr>
      <w:r w:rsidRPr="005E6F5C">
        <w:t xml:space="preserve">Ekonomska škola Pula upisuje dva razredna odjela koji se školuju za zanimanje ekonomist te jedan razredni odjel koji se školuje za zanimanje poslovni tajnik. U svaki razredni odjel upisuje se ukupno 24 učenika. </w:t>
      </w:r>
    </w:p>
    <w:p w14:paraId="649BCFD2" w14:textId="75B61637" w:rsidR="000B2F61" w:rsidRPr="005E6F5C" w:rsidRDefault="000B2F61" w:rsidP="000B2F61">
      <w:pPr>
        <w:contextualSpacing/>
        <w:jc w:val="both"/>
      </w:pPr>
      <w:r w:rsidRPr="005E6F5C">
        <w:t>U šk.god. 202</w:t>
      </w:r>
      <w:r w:rsidR="000A70F0">
        <w:t>4</w:t>
      </w:r>
      <w:r w:rsidRPr="005E6F5C">
        <w:t>./202</w:t>
      </w:r>
      <w:r w:rsidR="000A70F0">
        <w:t>5</w:t>
      </w:r>
      <w:r w:rsidRPr="005E6F5C">
        <w:t>. Ekono</w:t>
      </w:r>
      <w:r w:rsidR="000A70F0">
        <w:t>msku školu Pula pohađa ukupno 280</w:t>
      </w:r>
      <w:r w:rsidRPr="005E6F5C">
        <w:t xml:space="preserve"> učenika te je zaposleno ukupno </w:t>
      </w:r>
      <w:r w:rsidR="00BF297E">
        <w:t>50</w:t>
      </w:r>
      <w:r w:rsidRPr="005E6F5C">
        <w:t xml:space="preserve"> redovnih radnika</w:t>
      </w:r>
      <w:r>
        <w:t xml:space="preserve"> i </w:t>
      </w:r>
      <w:r w:rsidR="00BF297E">
        <w:t>9</w:t>
      </w:r>
      <w:r>
        <w:t xml:space="preserve"> </w:t>
      </w:r>
      <w:r w:rsidRPr="005E6F5C">
        <w:t>pomoćnik</w:t>
      </w:r>
      <w:r>
        <w:t>a</w:t>
      </w:r>
      <w:r w:rsidRPr="005E6F5C">
        <w:t xml:space="preserve"> u nastavi kroz program Mozaik</w:t>
      </w:r>
      <w:r w:rsidR="00BF297E">
        <w:t xml:space="preserve"> 7</w:t>
      </w:r>
      <w:r w:rsidRPr="005E6F5C">
        <w:t xml:space="preserve">. </w:t>
      </w:r>
    </w:p>
    <w:p w14:paraId="48808F18" w14:textId="77777777" w:rsidR="000B2F61" w:rsidRPr="005E6F5C" w:rsidRDefault="000B2F61" w:rsidP="000B2F61">
      <w:pPr>
        <w:contextualSpacing/>
        <w:jc w:val="both"/>
      </w:pPr>
      <w:r w:rsidRPr="005E6F5C">
        <w:t xml:space="preserve">Škola ima odobrenje Ministarstva znanosti i obrazovanja za nastavne planove i programe iz sektora ekonomije, trgovine i poslovne administracije za zanimanje ekonomist i poslovni tajnik.  </w:t>
      </w:r>
    </w:p>
    <w:p w14:paraId="06FE6377" w14:textId="77777777" w:rsidR="000B2F61" w:rsidRPr="005E6F5C" w:rsidRDefault="000B2F61" w:rsidP="000B2F61">
      <w:pPr>
        <w:contextualSpacing/>
        <w:jc w:val="both"/>
        <w:rPr>
          <w:lang w:val="en-US"/>
        </w:rPr>
      </w:pPr>
      <w:r w:rsidRPr="005E6F5C">
        <w:rPr>
          <w:lang w:val="en-US"/>
        </w:rPr>
        <w:t>Djelatnost Škole ostvaruje se na temelju Nastavnog plana i programa, Školskog kurikuluma i Godišnjeg plana i programa rada, a u skladu sa Zakonom o ustanovama (NN</w:t>
      </w:r>
      <w:r w:rsidRPr="005E6F5C">
        <w:rPr>
          <w:color w:val="FF0000"/>
          <w:lang w:val="en-US"/>
        </w:rPr>
        <w:t xml:space="preserve"> </w:t>
      </w:r>
      <w:r w:rsidRPr="005E6F5C">
        <w:rPr>
          <w:lang w:val="en-US"/>
        </w:rPr>
        <w:t>76/93, 29/97, 47/99, 35/08), Zakonom o odgoju i obrazovanju u osnovnoj i srednjoj školi (NN 87/08, 86/09, 92/10, 105/10- ispravak, 90/11, 5/12, 16/12, 86/12, 126/12, 94/13, 152/14, 7/17, 68/18, 98/19) i Statutom Škole.</w:t>
      </w:r>
    </w:p>
    <w:p w14:paraId="683A743D" w14:textId="77777777" w:rsidR="000B2F61" w:rsidRDefault="000B2F61" w:rsidP="000B2F61">
      <w:pPr>
        <w:contextualSpacing/>
        <w:jc w:val="both"/>
        <w:rPr>
          <w:lang w:val="pl-PL"/>
        </w:rPr>
      </w:pPr>
    </w:p>
    <w:p w14:paraId="258A4837" w14:textId="77777777" w:rsidR="000B2F61" w:rsidRPr="00C850CE" w:rsidRDefault="000B2F61" w:rsidP="000B2F61">
      <w:pPr>
        <w:rPr>
          <w:lang w:val="pl-PL" w:eastAsia="en-US"/>
        </w:rPr>
      </w:pPr>
      <w:r w:rsidRPr="00C850CE">
        <w:rPr>
          <w:lang w:val="pl-PL"/>
        </w:rPr>
        <w:t>Obveza sastavljanja financijskih izvještaja u sustavu proračuna propisana je odredbama čl. 105 Zakona o proračunu („Narodne novine”, br. 87/08, 136/12 i 15/15), a Pravilnikom o financijskom izvještavanju u proračunskom računovodstvu („Narodne novine”, br. 3/15, 93/15, 135/15, 2/17, 28/17, 112/18 i 126/19) propisani su obrasci, njihov sadržaj i oblik financijskih izvještaja. Financijski izvještaj za proračunsku godinu sastavlja se na sljedećim obrascima:</w:t>
      </w:r>
    </w:p>
    <w:p w14:paraId="450129B7" w14:textId="77777777" w:rsidR="000B2F61" w:rsidRPr="00C850CE" w:rsidRDefault="000B2F61" w:rsidP="000B2F61">
      <w:pPr>
        <w:numPr>
          <w:ilvl w:val="0"/>
          <w:numId w:val="3"/>
        </w:numPr>
        <w:overflowPunct w:val="0"/>
        <w:autoSpaceDE w:val="0"/>
        <w:autoSpaceDN w:val="0"/>
        <w:adjustRightInd w:val="0"/>
        <w:rPr>
          <w:lang w:val="pl-PL"/>
        </w:rPr>
      </w:pPr>
      <w:r w:rsidRPr="00C850CE">
        <w:rPr>
          <w:lang w:val="pl-PL"/>
        </w:rPr>
        <w:t>Bilanca na obrascu BIL</w:t>
      </w:r>
    </w:p>
    <w:p w14:paraId="58AA331C" w14:textId="77777777" w:rsidR="000B2F61" w:rsidRPr="00C850CE" w:rsidRDefault="000B2F61" w:rsidP="000B2F61">
      <w:pPr>
        <w:numPr>
          <w:ilvl w:val="0"/>
          <w:numId w:val="3"/>
        </w:numPr>
        <w:overflowPunct w:val="0"/>
        <w:autoSpaceDE w:val="0"/>
        <w:autoSpaceDN w:val="0"/>
        <w:adjustRightInd w:val="0"/>
        <w:rPr>
          <w:lang w:val="pl-PL"/>
        </w:rPr>
      </w:pPr>
      <w:r w:rsidRPr="00C850CE">
        <w:rPr>
          <w:lang w:val="pl-PL"/>
        </w:rPr>
        <w:t>Izvještaj o prihodima i rashodima, primicima i izdacima na obrascu PR-RAS</w:t>
      </w:r>
    </w:p>
    <w:p w14:paraId="1477AD04" w14:textId="77777777" w:rsidR="000B2F61" w:rsidRPr="00C850CE" w:rsidRDefault="000B2F61" w:rsidP="000B2F61">
      <w:pPr>
        <w:numPr>
          <w:ilvl w:val="0"/>
          <w:numId w:val="3"/>
        </w:numPr>
        <w:overflowPunct w:val="0"/>
        <w:autoSpaceDE w:val="0"/>
        <w:autoSpaceDN w:val="0"/>
        <w:adjustRightInd w:val="0"/>
        <w:rPr>
          <w:lang w:val="pl-PL"/>
        </w:rPr>
      </w:pPr>
      <w:r w:rsidRPr="00C850CE">
        <w:rPr>
          <w:lang w:val="pl-PL"/>
        </w:rPr>
        <w:t>Izvještaj o rashodima prema funkcijskoj klasifikaciji na obrascu RAS-funkcijski</w:t>
      </w:r>
    </w:p>
    <w:p w14:paraId="4E351EE3" w14:textId="77777777" w:rsidR="000B2F61" w:rsidRPr="00C850CE" w:rsidRDefault="000B2F61" w:rsidP="000B2F61">
      <w:pPr>
        <w:numPr>
          <w:ilvl w:val="0"/>
          <w:numId w:val="3"/>
        </w:numPr>
        <w:overflowPunct w:val="0"/>
        <w:autoSpaceDE w:val="0"/>
        <w:autoSpaceDN w:val="0"/>
        <w:adjustRightInd w:val="0"/>
        <w:rPr>
          <w:lang w:val="pl-PL"/>
        </w:rPr>
      </w:pPr>
      <w:r w:rsidRPr="00C850CE">
        <w:rPr>
          <w:lang w:val="pl-PL"/>
        </w:rPr>
        <w:t>Izvještaj o promjenama u vrijednosti i obujmu imovine i obveza na obrascu P-VRIO</w:t>
      </w:r>
    </w:p>
    <w:p w14:paraId="66EEB94A" w14:textId="77777777" w:rsidR="000B2F61" w:rsidRPr="00C850CE" w:rsidRDefault="000B2F61" w:rsidP="000B2F61">
      <w:pPr>
        <w:numPr>
          <w:ilvl w:val="0"/>
          <w:numId w:val="3"/>
        </w:numPr>
        <w:overflowPunct w:val="0"/>
        <w:autoSpaceDE w:val="0"/>
        <w:autoSpaceDN w:val="0"/>
        <w:adjustRightInd w:val="0"/>
        <w:rPr>
          <w:lang w:val="pl-PL"/>
        </w:rPr>
      </w:pPr>
      <w:r w:rsidRPr="00C850CE">
        <w:rPr>
          <w:lang w:val="pl-PL"/>
        </w:rPr>
        <w:t>Izvještaj o obvezama na obrascu OBVEZE</w:t>
      </w:r>
    </w:p>
    <w:p w14:paraId="6F472904" w14:textId="77777777" w:rsidR="000B2F61" w:rsidRDefault="000B2F61" w:rsidP="000B2F61">
      <w:pPr>
        <w:rPr>
          <w:rFonts w:ascii="Arial" w:hAnsi="Arial" w:cs="Arial"/>
          <w:sz w:val="22"/>
          <w:szCs w:val="22"/>
          <w:lang w:val="pl-PL"/>
        </w:rPr>
      </w:pPr>
      <w:r w:rsidRPr="00C850CE">
        <w:rPr>
          <w:lang w:val="pl-PL"/>
        </w:rPr>
        <w:t>Pored navedenih obrazaca, sastavni dio financijskog izvještaja su i Bilješke uz financijski izvještaj</w:t>
      </w:r>
      <w:r>
        <w:rPr>
          <w:rFonts w:ascii="Arial" w:hAnsi="Arial" w:cs="Arial"/>
          <w:sz w:val="22"/>
          <w:szCs w:val="22"/>
          <w:lang w:val="pl-PL"/>
        </w:rPr>
        <w:t>.</w:t>
      </w:r>
    </w:p>
    <w:p w14:paraId="6C17E7A7" w14:textId="572DE3CA" w:rsidR="00A56F5F" w:rsidRDefault="00A56F5F">
      <w:pPr>
        <w:rPr>
          <w:sz w:val="22"/>
        </w:rPr>
      </w:pPr>
    </w:p>
    <w:p w14:paraId="16888E95" w14:textId="0FD2A793" w:rsidR="00612DD0" w:rsidRDefault="00612DD0">
      <w:pPr>
        <w:rPr>
          <w:sz w:val="22"/>
        </w:rPr>
      </w:pPr>
    </w:p>
    <w:p w14:paraId="1F7363C8" w14:textId="77777777" w:rsidR="00612DD0" w:rsidRDefault="00612DD0">
      <w:pPr>
        <w:rPr>
          <w:sz w:val="22"/>
        </w:rPr>
      </w:pPr>
    </w:p>
    <w:p w14:paraId="6C1ECFB3" w14:textId="77777777" w:rsidR="00A56F5F" w:rsidRDefault="00A56F5F">
      <w:pPr>
        <w:rPr>
          <w:sz w:val="22"/>
        </w:rPr>
      </w:pPr>
    </w:p>
    <w:p w14:paraId="5D659C21" w14:textId="0025C656" w:rsidR="00BF297E" w:rsidRDefault="00BF297E">
      <w:pPr>
        <w:ind w:left="1134" w:hanging="1134"/>
        <w:rPr>
          <w:b/>
        </w:rPr>
      </w:pPr>
      <w:r>
        <w:rPr>
          <w:b/>
        </w:rPr>
        <w:lastRenderedPageBreak/>
        <w:t>Bilješke uz obrazac BILANCA</w:t>
      </w:r>
    </w:p>
    <w:p w14:paraId="7AB696B4" w14:textId="77777777" w:rsidR="00BF297E" w:rsidRDefault="00BF297E">
      <w:pPr>
        <w:ind w:left="1134" w:hanging="1134"/>
        <w:rPr>
          <w:b/>
        </w:rPr>
      </w:pPr>
    </w:p>
    <w:p w14:paraId="76E9DD46" w14:textId="7EC3695B" w:rsidR="00BF297E" w:rsidRDefault="00B64E53" w:rsidP="00BF297E">
      <w:pPr>
        <w:pStyle w:val="Odlomakpopisa"/>
        <w:numPr>
          <w:ilvl w:val="0"/>
          <w:numId w:val="4"/>
        </w:numPr>
        <w:rPr>
          <w:bCs/>
        </w:rPr>
      </w:pPr>
      <w:r>
        <w:rPr>
          <w:bCs/>
        </w:rPr>
        <w:t>Šifra 0221 – povećanje zbog nabave  sredstava (stanica za punjenje i pohranu prijenosnih računala) i primljenih donacija (prijenosna računala i projektor)</w:t>
      </w:r>
      <w:r w:rsidR="00BF297E">
        <w:rPr>
          <w:bCs/>
        </w:rPr>
        <w:t xml:space="preserve"> </w:t>
      </w:r>
    </w:p>
    <w:p w14:paraId="29ADBC46" w14:textId="327C8BFE" w:rsidR="00B64E53" w:rsidRDefault="00B64E53" w:rsidP="00BF297E">
      <w:pPr>
        <w:pStyle w:val="Odlomakpopisa"/>
        <w:numPr>
          <w:ilvl w:val="0"/>
          <w:numId w:val="4"/>
        </w:numPr>
        <w:rPr>
          <w:bCs/>
        </w:rPr>
      </w:pPr>
      <w:r>
        <w:rPr>
          <w:bCs/>
        </w:rPr>
        <w:t xml:space="preserve">Šifra </w:t>
      </w:r>
      <w:r w:rsidR="007353F6">
        <w:rPr>
          <w:bCs/>
        </w:rPr>
        <w:t>02924 – povećanje zbog redovnog godišnjeg otpisa vrijednosti knjiga u knjižnici</w:t>
      </w:r>
    </w:p>
    <w:p w14:paraId="6F135D45" w14:textId="5876D480" w:rsidR="007353F6" w:rsidRDefault="007353F6" w:rsidP="00BF297E">
      <w:pPr>
        <w:pStyle w:val="Odlomakpopisa"/>
        <w:numPr>
          <w:ilvl w:val="0"/>
          <w:numId w:val="4"/>
        </w:numPr>
        <w:rPr>
          <w:bCs/>
        </w:rPr>
      </w:pPr>
      <w:r>
        <w:rPr>
          <w:bCs/>
        </w:rPr>
        <w:t>Šifra 042, 049 – povećanje zbog veće nabave sitnog inventara za potrebe nastave i istovremenog otpisa sitnog inventara u upotrebi</w:t>
      </w:r>
    </w:p>
    <w:p w14:paraId="530547C1" w14:textId="4E46C6C2" w:rsidR="007353F6" w:rsidRDefault="007353F6" w:rsidP="00BF297E">
      <w:pPr>
        <w:pStyle w:val="Odlomakpopisa"/>
        <w:numPr>
          <w:ilvl w:val="0"/>
          <w:numId w:val="4"/>
        </w:numPr>
        <w:rPr>
          <w:bCs/>
        </w:rPr>
      </w:pPr>
      <w:r>
        <w:rPr>
          <w:bCs/>
        </w:rPr>
        <w:t>Šifra 111 – povećanje salda novčanih sredstava desilo se zbog viška prihoda od učeničkog servisa koji nije utrošen do kraja 2024. g. Uz to na žiro računu su sredstva za štampanje monografije, od učenika za povećane troškove obrazovanja.</w:t>
      </w:r>
    </w:p>
    <w:p w14:paraId="0C43EEA0" w14:textId="5015297A" w:rsidR="00EB2BDC" w:rsidRDefault="00EB2BDC" w:rsidP="00BF297E">
      <w:pPr>
        <w:pStyle w:val="Odlomakpopisa"/>
        <w:numPr>
          <w:ilvl w:val="0"/>
          <w:numId w:val="4"/>
        </w:numPr>
        <w:rPr>
          <w:bCs/>
        </w:rPr>
      </w:pPr>
      <w:r>
        <w:rPr>
          <w:bCs/>
        </w:rPr>
        <w:t>Šifra 123 – potraživanja za isplaćene akontacije za putne naloge</w:t>
      </w:r>
    </w:p>
    <w:p w14:paraId="27AE2B3B" w14:textId="56E4FB78" w:rsidR="00EB2BDC" w:rsidRDefault="00EB2BDC" w:rsidP="00BF297E">
      <w:pPr>
        <w:pStyle w:val="Odlomakpopisa"/>
        <w:numPr>
          <w:ilvl w:val="0"/>
          <w:numId w:val="4"/>
        </w:numPr>
        <w:rPr>
          <w:bCs/>
        </w:rPr>
      </w:pPr>
      <w:r>
        <w:rPr>
          <w:bCs/>
        </w:rPr>
        <w:t>Šifra 129 – ostala potraživanja – potraživanja za bolovanja na teret HZZO-a</w:t>
      </w:r>
    </w:p>
    <w:p w14:paraId="299015BE" w14:textId="73D5E8BD" w:rsidR="00EB2BDC" w:rsidRDefault="00EB2BDC" w:rsidP="00BF297E">
      <w:pPr>
        <w:pStyle w:val="Odlomakpopisa"/>
        <w:numPr>
          <w:ilvl w:val="0"/>
          <w:numId w:val="4"/>
        </w:numPr>
        <w:rPr>
          <w:bCs/>
        </w:rPr>
      </w:pPr>
      <w:r>
        <w:rPr>
          <w:bCs/>
        </w:rPr>
        <w:t>Šifra 16 – potraživanja za prihode poslovanja odnose se na potraživanja za školsko voće i prijevoz učenika s posebnim potrebama</w:t>
      </w:r>
    </w:p>
    <w:p w14:paraId="704E9E15" w14:textId="2F3BC566" w:rsidR="00EB2BDC" w:rsidRDefault="00EB2BDC" w:rsidP="00BF297E">
      <w:pPr>
        <w:pStyle w:val="Odlomakpopisa"/>
        <w:numPr>
          <w:ilvl w:val="0"/>
          <w:numId w:val="4"/>
        </w:numPr>
        <w:rPr>
          <w:bCs/>
        </w:rPr>
      </w:pPr>
      <w:r>
        <w:rPr>
          <w:bCs/>
        </w:rPr>
        <w:t>Šifra 166 – potraživanja za prihode poslovanja od davanja u zakup prostora škole – računi su izdani krajem 2024. i naplaćeni u 2025.g.</w:t>
      </w:r>
    </w:p>
    <w:p w14:paraId="2310B120" w14:textId="6E220AFF" w:rsidR="00EB2BDC" w:rsidRDefault="00EB2BDC" w:rsidP="00BF297E">
      <w:pPr>
        <w:pStyle w:val="Odlomakpopisa"/>
        <w:numPr>
          <w:ilvl w:val="0"/>
          <w:numId w:val="4"/>
        </w:numPr>
        <w:rPr>
          <w:bCs/>
        </w:rPr>
      </w:pPr>
      <w:r>
        <w:rPr>
          <w:bCs/>
        </w:rPr>
        <w:t>Šifra 193 – kontinuirani rashodi budućih razdoblja – troškovi koji se odnose na prosinac ali terete 2025.g. – plaća redovnih zaposlenika i pomoćnika u nastavi</w:t>
      </w:r>
    </w:p>
    <w:p w14:paraId="4F881ED4" w14:textId="77777777" w:rsidR="00107A25" w:rsidRDefault="00EB2BDC" w:rsidP="00BF297E">
      <w:pPr>
        <w:pStyle w:val="Odlomakpopisa"/>
        <w:numPr>
          <w:ilvl w:val="0"/>
          <w:numId w:val="4"/>
        </w:numPr>
        <w:rPr>
          <w:bCs/>
        </w:rPr>
      </w:pPr>
      <w:r>
        <w:rPr>
          <w:bCs/>
        </w:rPr>
        <w:t xml:space="preserve">Šifra 231 </w:t>
      </w:r>
      <w:r w:rsidR="00107A25">
        <w:rPr>
          <w:bCs/>
        </w:rPr>
        <w:t>–</w:t>
      </w:r>
      <w:r>
        <w:rPr>
          <w:bCs/>
        </w:rPr>
        <w:t xml:space="preserve"> </w:t>
      </w:r>
      <w:r w:rsidR="00107A25">
        <w:rPr>
          <w:bCs/>
        </w:rPr>
        <w:t>obveze za plaće redovnih zaposlenika i pomoćnika u nastavi za prosinac 2024.</w:t>
      </w:r>
    </w:p>
    <w:p w14:paraId="4CC54CBE" w14:textId="3B2A9D94" w:rsidR="0038225E" w:rsidRDefault="0038225E" w:rsidP="00BF297E">
      <w:pPr>
        <w:pStyle w:val="Odlomakpopisa"/>
        <w:numPr>
          <w:ilvl w:val="0"/>
          <w:numId w:val="4"/>
        </w:numPr>
        <w:rPr>
          <w:bCs/>
        </w:rPr>
      </w:pPr>
      <w:r>
        <w:rPr>
          <w:bCs/>
        </w:rPr>
        <w:t>Šifra 922 – višak prihoda raspoloživ u idućem razdoblju – višak prihoda iz 2023. uvećan za višak prihoda poslovanja i umanjen za manjak prihoda poslovanja od nefinancijske imovine</w:t>
      </w:r>
      <w:r w:rsidR="00E43533">
        <w:rPr>
          <w:bCs/>
        </w:rPr>
        <w:t xml:space="preserve"> iznosi =17.552,26 €,  a sastoji se od: </w:t>
      </w:r>
    </w:p>
    <w:p w14:paraId="0CE3CC36" w14:textId="6CEBFE52" w:rsidR="00E43533" w:rsidRDefault="00E43533" w:rsidP="00E43533">
      <w:pPr>
        <w:pStyle w:val="Odlomakpopisa"/>
        <w:numPr>
          <w:ilvl w:val="1"/>
          <w:numId w:val="4"/>
        </w:numPr>
        <w:rPr>
          <w:bCs/>
        </w:rPr>
      </w:pPr>
      <w:r>
        <w:rPr>
          <w:bCs/>
        </w:rPr>
        <w:t>Prihoda za obilježavanje 75 godišnjice škole =938,63 €,</w:t>
      </w:r>
    </w:p>
    <w:p w14:paraId="762C4066" w14:textId="34887B89" w:rsidR="00E43533" w:rsidRDefault="00E43533" w:rsidP="00E43533">
      <w:pPr>
        <w:pStyle w:val="Odlomakpopisa"/>
        <w:numPr>
          <w:ilvl w:val="1"/>
          <w:numId w:val="4"/>
        </w:numPr>
        <w:rPr>
          <w:bCs/>
        </w:rPr>
      </w:pPr>
      <w:r>
        <w:rPr>
          <w:bCs/>
        </w:rPr>
        <w:t>Prihoda od učeničkog servisa =14.228,29 €,</w:t>
      </w:r>
    </w:p>
    <w:p w14:paraId="3B3BAFEC" w14:textId="72F81866" w:rsidR="00E43533" w:rsidRDefault="00E43533" w:rsidP="00E43533">
      <w:pPr>
        <w:pStyle w:val="Odlomakpopisa"/>
        <w:numPr>
          <w:ilvl w:val="1"/>
          <w:numId w:val="4"/>
        </w:numPr>
        <w:rPr>
          <w:bCs/>
        </w:rPr>
      </w:pPr>
      <w:r>
        <w:rPr>
          <w:bCs/>
        </w:rPr>
        <w:t>Prihoda od učeničke zadruge =91,43 €,</w:t>
      </w:r>
    </w:p>
    <w:p w14:paraId="193C0FF4" w14:textId="3999C37A" w:rsidR="00E43533" w:rsidRDefault="00E43533" w:rsidP="00E43533">
      <w:pPr>
        <w:pStyle w:val="Odlomakpopisa"/>
        <w:numPr>
          <w:ilvl w:val="1"/>
          <w:numId w:val="4"/>
        </w:numPr>
        <w:rPr>
          <w:bCs/>
        </w:rPr>
      </w:pPr>
      <w:r>
        <w:rPr>
          <w:bCs/>
        </w:rPr>
        <w:t>Manjka prihoda za voće =-447,57 €,</w:t>
      </w:r>
    </w:p>
    <w:p w14:paraId="128808A3" w14:textId="4ED3FA10" w:rsidR="00E43533" w:rsidRDefault="00E43533" w:rsidP="00E43533">
      <w:pPr>
        <w:pStyle w:val="Odlomakpopisa"/>
        <w:numPr>
          <w:ilvl w:val="1"/>
          <w:numId w:val="4"/>
        </w:numPr>
        <w:rPr>
          <w:bCs/>
        </w:rPr>
      </w:pPr>
      <w:r>
        <w:rPr>
          <w:bCs/>
        </w:rPr>
        <w:t>Prihoda po posebnim potrebama =1.741,48 €,</w:t>
      </w:r>
    </w:p>
    <w:p w14:paraId="55EA4E95" w14:textId="352D146D" w:rsidR="00E43533" w:rsidRDefault="00E43533" w:rsidP="00E43533">
      <w:pPr>
        <w:pStyle w:val="Odlomakpopisa"/>
        <w:numPr>
          <w:ilvl w:val="1"/>
          <w:numId w:val="4"/>
        </w:numPr>
        <w:rPr>
          <w:bCs/>
        </w:rPr>
      </w:pPr>
      <w:r>
        <w:rPr>
          <w:bCs/>
        </w:rPr>
        <w:t>Prihoda od IŽ za tisak monografije =1.000,00 €.</w:t>
      </w:r>
    </w:p>
    <w:p w14:paraId="5B311DBA" w14:textId="77777777" w:rsidR="0038225E" w:rsidRDefault="0038225E" w:rsidP="0038225E">
      <w:pPr>
        <w:ind w:left="360"/>
        <w:rPr>
          <w:bCs/>
        </w:rPr>
      </w:pPr>
    </w:p>
    <w:p w14:paraId="312AB1B4" w14:textId="77777777" w:rsidR="0038225E" w:rsidRDefault="0038225E" w:rsidP="0038225E">
      <w:pPr>
        <w:ind w:left="360"/>
        <w:rPr>
          <w:bCs/>
        </w:rPr>
      </w:pPr>
      <w:r>
        <w:rPr>
          <w:bCs/>
        </w:rPr>
        <w:t>Obvezne bilješke uz bilancu prikazane u tablicama:</w:t>
      </w:r>
    </w:p>
    <w:p w14:paraId="03E81E61" w14:textId="77777777" w:rsidR="0038225E" w:rsidRDefault="0038225E" w:rsidP="0038225E">
      <w:pPr>
        <w:pStyle w:val="Odlomakpopisa"/>
        <w:numPr>
          <w:ilvl w:val="0"/>
          <w:numId w:val="5"/>
        </w:numPr>
        <w:rPr>
          <w:bCs/>
        </w:rPr>
      </w:pPr>
      <w:r>
        <w:rPr>
          <w:bCs/>
        </w:rPr>
        <w:t>Popis ugovornih obveza  - nema evidentiranih ugovornih odnosa i sl. koji uz ispunjenje određenih uvjeta mogu postati obveza ili imovina.</w:t>
      </w:r>
    </w:p>
    <w:p w14:paraId="498A385D" w14:textId="77777777" w:rsidR="0038225E" w:rsidRDefault="0038225E" w:rsidP="0038225E">
      <w:pPr>
        <w:pStyle w:val="Odlomakpopisa"/>
        <w:numPr>
          <w:ilvl w:val="0"/>
          <w:numId w:val="5"/>
        </w:numPr>
        <w:rPr>
          <w:bCs/>
        </w:rPr>
      </w:pPr>
      <w:r>
        <w:rPr>
          <w:bCs/>
        </w:rPr>
        <w:t>Popis sudskih sporova u tijeku – nema sudskih sporova.</w:t>
      </w:r>
    </w:p>
    <w:p w14:paraId="56AF128E" w14:textId="0E559C27" w:rsidR="0038225E" w:rsidRDefault="0038225E" w:rsidP="0038225E">
      <w:pPr>
        <w:rPr>
          <w:bCs/>
        </w:rPr>
      </w:pPr>
    </w:p>
    <w:p w14:paraId="05543746" w14:textId="77777777" w:rsidR="00E43533" w:rsidRDefault="00E43533" w:rsidP="0038225E">
      <w:pPr>
        <w:rPr>
          <w:bCs/>
        </w:rPr>
      </w:pPr>
    </w:p>
    <w:p w14:paraId="25A3A8AF" w14:textId="77777777" w:rsidR="0038225E" w:rsidRDefault="0038225E" w:rsidP="0038225E">
      <w:pPr>
        <w:rPr>
          <w:bCs/>
        </w:rPr>
      </w:pPr>
      <w:r>
        <w:rPr>
          <w:bCs/>
        </w:rPr>
        <w:t>Tablica 1. – Popis ugovornih odnosa na dan 31.12.2024.</w:t>
      </w:r>
    </w:p>
    <w:tbl>
      <w:tblPr>
        <w:tblStyle w:val="Reetkatablice"/>
        <w:tblW w:w="0" w:type="auto"/>
        <w:tblLayout w:type="fixed"/>
        <w:tblLook w:val="04A0" w:firstRow="1" w:lastRow="0" w:firstColumn="1" w:lastColumn="0" w:noHBand="0" w:noVBand="1"/>
      </w:tblPr>
      <w:tblGrid>
        <w:gridCol w:w="562"/>
        <w:gridCol w:w="1072"/>
        <w:gridCol w:w="1154"/>
        <w:gridCol w:w="1166"/>
        <w:gridCol w:w="949"/>
        <w:gridCol w:w="998"/>
        <w:gridCol w:w="1130"/>
        <w:gridCol w:w="877"/>
        <w:gridCol w:w="1154"/>
      </w:tblGrid>
      <w:tr w:rsidR="0038225E" w14:paraId="071C7EBA" w14:textId="77777777" w:rsidTr="008403B5">
        <w:tc>
          <w:tcPr>
            <w:tcW w:w="562" w:type="dxa"/>
            <w:vAlign w:val="center"/>
          </w:tcPr>
          <w:p w14:paraId="15FCC83C" w14:textId="7E218085" w:rsidR="0038225E" w:rsidRPr="008403B5" w:rsidRDefault="0038225E" w:rsidP="008403B5">
            <w:pPr>
              <w:jc w:val="center"/>
              <w:rPr>
                <w:bCs/>
                <w:sz w:val="20"/>
                <w:szCs w:val="20"/>
              </w:rPr>
            </w:pPr>
            <w:r w:rsidRPr="008403B5">
              <w:rPr>
                <w:bCs/>
                <w:sz w:val="20"/>
                <w:szCs w:val="20"/>
              </w:rPr>
              <w:t>R.br.</w:t>
            </w:r>
          </w:p>
        </w:tc>
        <w:tc>
          <w:tcPr>
            <w:tcW w:w="1072" w:type="dxa"/>
            <w:vAlign w:val="center"/>
          </w:tcPr>
          <w:p w14:paraId="1D9A5BD3" w14:textId="0858D302" w:rsidR="0038225E" w:rsidRPr="008403B5" w:rsidRDefault="0038225E" w:rsidP="008403B5">
            <w:pPr>
              <w:jc w:val="center"/>
              <w:rPr>
                <w:bCs/>
                <w:sz w:val="20"/>
                <w:szCs w:val="20"/>
              </w:rPr>
            </w:pPr>
            <w:r w:rsidRPr="008403B5">
              <w:rPr>
                <w:bCs/>
                <w:sz w:val="20"/>
                <w:szCs w:val="20"/>
              </w:rPr>
              <w:t>Datum primanja jamstva</w:t>
            </w:r>
          </w:p>
        </w:tc>
        <w:tc>
          <w:tcPr>
            <w:tcW w:w="1154" w:type="dxa"/>
            <w:vAlign w:val="center"/>
          </w:tcPr>
          <w:p w14:paraId="45C15FB4" w14:textId="09C55FFA" w:rsidR="0038225E" w:rsidRPr="008403B5" w:rsidRDefault="0038225E" w:rsidP="008403B5">
            <w:pPr>
              <w:jc w:val="center"/>
              <w:rPr>
                <w:bCs/>
                <w:sz w:val="20"/>
                <w:szCs w:val="20"/>
              </w:rPr>
            </w:pPr>
            <w:r w:rsidRPr="008403B5">
              <w:rPr>
                <w:bCs/>
                <w:sz w:val="20"/>
                <w:szCs w:val="20"/>
              </w:rPr>
              <w:t>Instrument osiguranja</w:t>
            </w:r>
          </w:p>
        </w:tc>
        <w:tc>
          <w:tcPr>
            <w:tcW w:w="1166" w:type="dxa"/>
            <w:vAlign w:val="center"/>
          </w:tcPr>
          <w:p w14:paraId="2681631F" w14:textId="647B86C9" w:rsidR="0038225E" w:rsidRPr="008403B5" w:rsidRDefault="0038225E" w:rsidP="008403B5">
            <w:pPr>
              <w:jc w:val="center"/>
              <w:rPr>
                <w:bCs/>
                <w:sz w:val="20"/>
                <w:szCs w:val="20"/>
              </w:rPr>
            </w:pPr>
            <w:r w:rsidRPr="008403B5">
              <w:rPr>
                <w:bCs/>
                <w:sz w:val="20"/>
                <w:szCs w:val="20"/>
              </w:rPr>
              <w:t>Iznos primljenog jamstva</w:t>
            </w:r>
          </w:p>
        </w:tc>
        <w:tc>
          <w:tcPr>
            <w:tcW w:w="949" w:type="dxa"/>
            <w:vAlign w:val="center"/>
          </w:tcPr>
          <w:p w14:paraId="4CC450DC" w14:textId="7DAFD407" w:rsidR="0038225E" w:rsidRPr="008403B5" w:rsidRDefault="0038225E" w:rsidP="008403B5">
            <w:pPr>
              <w:jc w:val="center"/>
              <w:rPr>
                <w:bCs/>
                <w:sz w:val="20"/>
                <w:szCs w:val="20"/>
              </w:rPr>
            </w:pPr>
            <w:r w:rsidRPr="008403B5">
              <w:rPr>
                <w:bCs/>
                <w:sz w:val="20"/>
                <w:szCs w:val="20"/>
              </w:rPr>
              <w:t>Davatelj jamstva</w:t>
            </w:r>
          </w:p>
        </w:tc>
        <w:tc>
          <w:tcPr>
            <w:tcW w:w="998" w:type="dxa"/>
            <w:vAlign w:val="center"/>
          </w:tcPr>
          <w:p w14:paraId="225EF565" w14:textId="52528B8D" w:rsidR="0038225E" w:rsidRPr="008403B5" w:rsidRDefault="0038225E" w:rsidP="008403B5">
            <w:pPr>
              <w:jc w:val="center"/>
              <w:rPr>
                <w:bCs/>
                <w:sz w:val="20"/>
                <w:szCs w:val="20"/>
              </w:rPr>
            </w:pPr>
            <w:r w:rsidRPr="008403B5">
              <w:rPr>
                <w:bCs/>
                <w:sz w:val="20"/>
                <w:szCs w:val="20"/>
              </w:rPr>
              <w:t>Namjena</w:t>
            </w:r>
          </w:p>
        </w:tc>
        <w:tc>
          <w:tcPr>
            <w:tcW w:w="1130" w:type="dxa"/>
            <w:vAlign w:val="center"/>
          </w:tcPr>
          <w:p w14:paraId="2FF8E5A1" w14:textId="31938888" w:rsidR="0038225E" w:rsidRPr="008403B5" w:rsidRDefault="0038225E" w:rsidP="008403B5">
            <w:pPr>
              <w:jc w:val="center"/>
              <w:rPr>
                <w:bCs/>
                <w:sz w:val="20"/>
                <w:szCs w:val="20"/>
              </w:rPr>
            </w:pPr>
            <w:r w:rsidRPr="008403B5">
              <w:rPr>
                <w:bCs/>
                <w:sz w:val="20"/>
                <w:szCs w:val="20"/>
              </w:rPr>
              <w:t>Dokument</w:t>
            </w:r>
          </w:p>
        </w:tc>
        <w:tc>
          <w:tcPr>
            <w:tcW w:w="877" w:type="dxa"/>
            <w:vAlign w:val="center"/>
          </w:tcPr>
          <w:p w14:paraId="7A8E2554" w14:textId="76F648CB" w:rsidR="0038225E" w:rsidRPr="008403B5" w:rsidRDefault="0038225E" w:rsidP="008403B5">
            <w:pPr>
              <w:jc w:val="center"/>
              <w:rPr>
                <w:bCs/>
                <w:sz w:val="20"/>
                <w:szCs w:val="20"/>
              </w:rPr>
            </w:pPr>
            <w:r w:rsidRPr="008403B5">
              <w:rPr>
                <w:bCs/>
                <w:sz w:val="20"/>
                <w:szCs w:val="20"/>
              </w:rPr>
              <w:t>Rok važenja</w:t>
            </w:r>
          </w:p>
        </w:tc>
        <w:tc>
          <w:tcPr>
            <w:tcW w:w="1154" w:type="dxa"/>
            <w:vAlign w:val="center"/>
          </w:tcPr>
          <w:p w14:paraId="3A3B1189" w14:textId="5FBB2F36" w:rsidR="0038225E" w:rsidRPr="008403B5" w:rsidRDefault="0038225E" w:rsidP="008403B5">
            <w:pPr>
              <w:jc w:val="center"/>
              <w:rPr>
                <w:bCs/>
                <w:sz w:val="20"/>
                <w:szCs w:val="20"/>
              </w:rPr>
            </w:pPr>
            <w:r w:rsidRPr="008403B5">
              <w:rPr>
                <w:bCs/>
                <w:sz w:val="20"/>
                <w:szCs w:val="20"/>
              </w:rPr>
              <w:t>Napomena</w:t>
            </w:r>
          </w:p>
        </w:tc>
      </w:tr>
      <w:tr w:rsidR="0038225E" w14:paraId="6E7A74D8" w14:textId="77777777" w:rsidTr="0038225E">
        <w:tc>
          <w:tcPr>
            <w:tcW w:w="562" w:type="dxa"/>
          </w:tcPr>
          <w:p w14:paraId="6B3663C2" w14:textId="77777777" w:rsidR="0038225E" w:rsidRDefault="0038225E" w:rsidP="0038225E">
            <w:pPr>
              <w:rPr>
                <w:bCs/>
              </w:rPr>
            </w:pPr>
          </w:p>
        </w:tc>
        <w:tc>
          <w:tcPr>
            <w:tcW w:w="1072" w:type="dxa"/>
          </w:tcPr>
          <w:p w14:paraId="209E008A" w14:textId="77777777" w:rsidR="0038225E" w:rsidRDefault="0038225E" w:rsidP="0038225E">
            <w:pPr>
              <w:rPr>
                <w:bCs/>
              </w:rPr>
            </w:pPr>
          </w:p>
        </w:tc>
        <w:tc>
          <w:tcPr>
            <w:tcW w:w="1154" w:type="dxa"/>
          </w:tcPr>
          <w:p w14:paraId="688779BC" w14:textId="77777777" w:rsidR="0038225E" w:rsidRDefault="0038225E" w:rsidP="0038225E">
            <w:pPr>
              <w:rPr>
                <w:bCs/>
              </w:rPr>
            </w:pPr>
          </w:p>
        </w:tc>
        <w:tc>
          <w:tcPr>
            <w:tcW w:w="1166" w:type="dxa"/>
          </w:tcPr>
          <w:p w14:paraId="305605B4" w14:textId="77777777" w:rsidR="0038225E" w:rsidRDefault="0038225E" w:rsidP="0038225E">
            <w:pPr>
              <w:rPr>
                <w:bCs/>
              </w:rPr>
            </w:pPr>
          </w:p>
        </w:tc>
        <w:tc>
          <w:tcPr>
            <w:tcW w:w="949" w:type="dxa"/>
          </w:tcPr>
          <w:p w14:paraId="6F258D26" w14:textId="77777777" w:rsidR="0038225E" w:rsidRDefault="0038225E" w:rsidP="0038225E">
            <w:pPr>
              <w:rPr>
                <w:bCs/>
              </w:rPr>
            </w:pPr>
          </w:p>
        </w:tc>
        <w:tc>
          <w:tcPr>
            <w:tcW w:w="998" w:type="dxa"/>
          </w:tcPr>
          <w:p w14:paraId="0EA4E4F1" w14:textId="77777777" w:rsidR="0038225E" w:rsidRDefault="0038225E" w:rsidP="0038225E">
            <w:pPr>
              <w:rPr>
                <w:bCs/>
              </w:rPr>
            </w:pPr>
          </w:p>
        </w:tc>
        <w:tc>
          <w:tcPr>
            <w:tcW w:w="1130" w:type="dxa"/>
          </w:tcPr>
          <w:p w14:paraId="66EFA806" w14:textId="77777777" w:rsidR="0038225E" w:rsidRDefault="0038225E" w:rsidP="0038225E">
            <w:pPr>
              <w:rPr>
                <w:bCs/>
              </w:rPr>
            </w:pPr>
          </w:p>
        </w:tc>
        <w:tc>
          <w:tcPr>
            <w:tcW w:w="877" w:type="dxa"/>
          </w:tcPr>
          <w:p w14:paraId="130DCA0B" w14:textId="77777777" w:rsidR="0038225E" w:rsidRDefault="0038225E" w:rsidP="0038225E">
            <w:pPr>
              <w:rPr>
                <w:bCs/>
              </w:rPr>
            </w:pPr>
          </w:p>
        </w:tc>
        <w:tc>
          <w:tcPr>
            <w:tcW w:w="1154" w:type="dxa"/>
          </w:tcPr>
          <w:p w14:paraId="130CD600" w14:textId="77777777" w:rsidR="0038225E" w:rsidRDefault="0038225E" w:rsidP="0038225E">
            <w:pPr>
              <w:rPr>
                <w:bCs/>
              </w:rPr>
            </w:pPr>
          </w:p>
        </w:tc>
      </w:tr>
      <w:tr w:rsidR="0038225E" w14:paraId="554261AF" w14:textId="77777777" w:rsidTr="0038225E">
        <w:tc>
          <w:tcPr>
            <w:tcW w:w="562" w:type="dxa"/>
          </w:tcPr>
          <w:p w14:paraId="6AE1812C" w14:textId="77777777" w:rsidR="0038225E" w:rsidRDefault="0038225E" w:rsidP="0038225E">
            <w:pPr>
              <w:rPr>
                <w:bCs/>
              </w:rPr>
            </w:pPr>
          </w:p>
        </w:tc>
        <w:tc>
          <w:tcPr>
            <w:tcW w:w="1072" w:type="dxa"/>
          </w:tcPr>
          <w:p w14:paraId="682554D1" w14:textId="77777777" w:rsidR="0038225E" w:rsidRDefault="0038225E" w:rsidP="0038225E">
            <w:pPr>
              <w:rPr>
                <w:bCs/>
              </w:rPr>
            </w:pPr>
          </w:p>
        </w:tc>
        <w:tc>
          <w:tcPr>
            <w:tcW w:w="1154" w:type="dxa"/>
          </w:tcPr>
          <w:p w14:paraId="7B33BC0D" w14:textId="77777777" w:rsidR="0038225E" w:rsidRDefault="0038225E" w:rsidP="0038225E">
            <w:pPr>
              <w:rPr>
                <w:bCs/>
              </w:rPr>
            </w:pPr>
          </w:p>
        </w:tc>
        <w:tc>
          <w:tcPr>
            <w:tcW w:w="1166" w:type="dxa"/>
          </w:tcPr>
          <w:p w14:paraId="0AC22EAB" w14:textId="77777777" w:rsidR="0038225E" w:rsidRDefault="0038225E" w:rsidP="0038225E">
            <w:pPr>
              <w:rPr>
                <w:bCs/>
              </w:rPr>
            </w:pPr>
          </w:p>
        </w:tc>
        <w:tc>
          <w:tcPr>
            <w:tcW w:w="949" w:type="dxa"/>
          </w:tcPr>
          <w:p w14:paraId="568517FB" w14:textId="77777777" w:rsidR="0038225E" w:rsidRDefault="0038225E" w:rsidP="0038225E">
            <w:pPr>
              <w:rPr>
                <w:bCs/>
              </w:rPr>
            </w:pPr>
          </w:p>
        </w:tc>
        <w:tc>
          <w:tcPr>
            <w:tcW w:w="998" w:type="dxa"/>
          </w:tcPr>
          <w:p w14:paraId="4AF5EB6C" w14:textId="77777777" w:rsidR="0038225E" w:rsidRDefault="0038225E" w:rsidP="0038225E">
            <w:pPr>
              <w:rPr>
                <w:bCs/>
              </w:rPr>
            </w:pPr>
          </w:p>
        </w:tc>
        <w:tc>
          <w:tcPr>
            <w:tcW w:w="1130" w:type="dxa"/>
          </w:tcPr>
          <w:p w14:paraId="57557602" w14:textId="77777777" w:rsidR="0038225E" w:rsidRDefault="0038225E" w:rsidP="0038225E">
            <w:pPr>
              <w:rPr>
                <w:bCs/>
              </w:rPr>
            </w:pPr>
          </w:p>
        </w:tc>
        <w:tc>
          <w:tcPr>
            <w:tcW w:w="877" w:type="dxa"/>
          </w:tcPr>
          <w:p w14:paraId="049D1A86" w14:textId="77777777" w:rsidR="0038225E" w:rsidRDefault="0038225E" w:rsidP="0038225E">
            <w:pPr>
              <w:rPr>
                <w:bCs/>
              </w:rPr>
            </w:pPr>
          </w:p>
        </w:tc>
        <w:tc>
          <w:tcPr>
            <w:tcW w:w="1154" w:type="dxa"/>
          </w:tcPr>
          <w:p w14:paraId="1A0F3A75" w14:textId="77777777" w:rsidR="0038225E" w:rsidRDefault="0038225E" w:rsidP="0038225E">
            <w:pPr>
              <w:rPr>
                <w:bCs/>
              </w:rPr>
            </w:pPr>
          </w:p>
        </w:tc>
      </w:tr>
      <w:tr w:rsidR="008403B5" w14:paraId="116D625A" w14:textId="77777777" w:rsidTr="0025286F">
        <w:tc>
          <w:tcPr>
            <w:tcW w:w="2788" w:type="dxa"/>
            <w:gridSpan w:val="3"/>
          </w:tcPr>
          <w:p w14:paraId="5FB1C89E" w14:textId="2890C1D3" w:rsidR="008403B5" w:rsidRPr="008403B5" w:rsidRDefault="008403B5" w:rsidP="0038225E">
            <w:pPr>
              <w:rPr>
                <w:bCs/>
                <w:sz w:val="20"/>
                <w:szCs w:val="20"/>
              </w:rPr>
            </w:pPr>
            <w:r w:rsidRPr="008403B5">
              <w:rPr>
                <w:bCs/>
                <w:sz w:val="20"/>
                <w:szCs w:val="20"/>
              </w:rPr>
              <w:t>Ukupno dana jamstva</w:t>
            </w:r>
          </w:p>
        </w:tc>
        <w:tc>
          <w:tcPr>
            <w:tcW w:w="1166" w:type="dxa"/>
          </w:tcPr>
          <w:p w14:paraId="426A4D49" w14:textId="2848D4A1" w:rsidR="008403B5" w:rsidRPr="008403B5" w:rsidRDefault="008403B5" w:rsidP="0038225E">
            <w:pPr>
              <w:rPr>
                <w:bCs/>
                <w:sz w:val="20"/>
                <w:szCs w:val="20"/>
              </w:rPr>
            </w:pPr>
            <w:r w:rsidRPr="008403B5">
              <w:rPr>
                <w:bCs/>
                <w:sz w:val="20"/>
                <w:szCs w:val="20"/>
              </w:rPr>
              <w:t>0,00</w:t>
            </w:r>
          </w:p>
        </w:tc>
        <w:tc>
          <w:tcPr>
            <w:tcW w:w="949" w:type="dxa"/>
          </w:tcPr>
          <w:p w14:paraId="0323B4FA" w14:textId="77777777" w:rsidR="008403B5" w:rsidRPr="008403B5" w:rsidRDefault="008403B5" w:rsidP="0038225E">
            <w:pPr>
              <w:rPr>
                <w:bCs/>
                <w:sz w:val="20"/>
                <w:szCs w:val="20"/>
              </w:rPr>
            </w:pPr>
          </w:p>
        </w:tc>
        <w:tc>
          <w:tcPr>
            <w:tcW w:w="998" w:type="dxa"/>
          </w:tcPr>
          <w:p w14:paraId="0BE28AEE" w14:textId="77777777" w:rsidR="008403B5" w:rsidRPr="008403B5" w:rsidRDefault="008403B5" w:rsidP="0038225E">
            <w:pPr>
              <w:rPr>
                <w:bCs/>
                <w:sz w:val="20"/>
                <w:szCs w:val="20"/>
              </w:rPr>
            </w:pPr>
          </w:p>
        </w:tc>
        <w:tc>
          <w:tcPr>
            <w:tcW w:w="1130" w:type="dxa"/>
          </w:tcPr>
          <w:p w14:paraId="0CF8711B" w14:textId="77777777" w:rsidR="008403B5" w:rsidRPr="008403B5" w:rsidRDefault="008403B5" w:rsidP="0038225E">
            <w:pPr>
              <w:rPr>
                <w:bCs/>
                <w:sz w:val="20"/>
                <w:szCs w:val="20"/>
              </w:rPr>
            </w:pPr>
          </w:p>
        </w:tc>
        <w:tc>
          <w:tcPr>
            <w:tcW w:w="877" w:type="dxa"/>
          </w:tcPr>
          <w:p w14:paraId="3217DC76" w14:textId="77777777" w:rsidR="008403B5" w:rsidRPr="008403B5" w:rsidRDefault="008403B5" w:rsidP="0038225E">
            <w:pPr>
              <w:rPr>
                <w:bCs/>
                <w:sz w:val="20"/>
                <w:szCs w:val="20"/>
              </w:rPr>
            </w:pPr>
          </w:p>
        </w:tc>
        <w:tc>
          <w:tcPr>
            <w:tcW w:w="1154" w:type="dxa"/>
          </w:tcPr>
          <w:p w14:paraId="58716646" w14:textId="77777777" w:rsidR="008403B5" w:rsidRPr="008403B5" w:rsidRDefault="008403B5" w:rsidP="0038225E">
            <w:pPr>
              <w:rPr>
                <w:bCs/>
                <w:sz w:val="20"/>
                <w:szCs w:val="20"/>
              </w:rPr>
            </w:pPr>
          </w:p>
        </w:tc>
      </w:tr>
    </w:tbl>
    <w:p w14:paraId="2B0CCD4D" w14:textId="3FD9E950" w:rsidR="00EB2BDC" w:rsidRDefault="00107A25" w:rsidP="0038225E">
      <w:pPr>
        <w:rPr>
          <w:bCs/>
        </w:rPr>
      </w:pPr>
      <w:r w:rsidRPr="0038225E">
        <w:rPr>
          <w:bCs/>
        </w:rPr>
        <w:t xml:space="preserve"> </w:t>
      </w:r>
    </w:p>
    <w:p w14:paraId="25D882A6" w14:textId="34772EA2" w:rsidR="008403B5" w:rsidRDefault="008403B5" w:rsidP="0038225E">
      <w:pPr>
        <w:rPr>
          <w:bCs/>
        </w:rPr>
      </w:pPr>
      <w:r>
        <w:rPr>
          <w:bCs/>
        </w:rPr>
        <w:t>Tablica 2. – Popis sudskih sporova u tijeku na dan 31.12.2024.</w:t>
      </w:r>
    </w:p>
    <w:tbl>
      <w:tblPr>
        <w:tblStyle w:val="Reetkatablice"/>
        <w:tblW w:w="0" w:type="auto"/>
        <w:tblLook w:val="04A0" w:firstRow="1" w:lastRow="0" w:firstColumn="1" w:lastColumn="0" w:noHBand="0" w:noVBand="1"/>
      </w:tblPr>
      <w:tblGrid>
        <w:gridCol w:w="557"/>
        <w:gridCol w:w="1217"/>
        <w:gridCol w:w="939"/>
        <w:gridCol w:w="921"/>
        <w:gridCol w:w="961"/>
        <w:gridCol w:w="1205"/>
        <w:gridCol w:w="1227"/>
        <w:gridCol w:w="952"/>
        <w:gridCol w:w="1083"/>
      </w:tblGrid>
      <w:tr w:rsidR="008403B5" w14:paraId="188311A9" w14:textId="77777777" w:rsidTr="008403B5">
        <w:tc>
          <w:tcPr>
            <w:tcW w:w="562" w:type="dxa"/>
            <w:vAlign w:val="center"/>
          </w:tcPr>
          <w:p w14:paraId="4C5469B3" w14:textId="140535F9" w:rsidR="008403B5" w:rsidRPr="008403B5" w:rsidRDefault="008403B5" w:rsidP="008403B5">
            <w:pPr>
              <w:jc w:val="center"/>
              <w:rPr>
                <w:bCs/>
                <w:sz w:val="20"/>
                <w:szCs w:val="20"/>
              </w:rPr>
            </w:pPr>
            <w:r w:rsidRPr="008403B5">
              <w:rPr>
                <w:bCs/>
                <w:sz w:val="20"/>
                <w:szCs w:val="20"/>
              </w:rPr>
              <w:t>R.b.</w:t>
            </w:r>
          </w:p>
        </w:tc>
        <w:tc>
          <w:tcPr>
            <w:tcW w:w="1451" w:type="dxa"/>
            <w:vAlign w:val="center"/>
          </w:tcPr>
          <w:p w14:paraId="5D67CE58" w14:textId="25C18C4A" w:rsidR="008403B5" w:rsidRPr="008403B5" w:rsidRDefault="008403B5" w:rsidP="008403B5">
            <w:pPr>
              <w:jc w:val="center"/>
              <w:rPr>
                <w:bCs/>
                <w:sz w:val="20"/>
                <w:szCs w:val="20"/>
              </w:rPr>
            </w:pPr>
            <w:r w:rsidRPr="008403B5">
              <w:rPr>
                <w:bCs/>
                <w:sz w:val="20"/>
                <w:szCs w:val="20"/>
              </w:rPr>
              <w:t>Tuženik</w:t>
            </w:r>
          </w:p>
        </w:tc>
        <w:tc>
          <w:tcPr>
            <w:tcW w:w="1007" w:type="dxa"/>
            <w:vAlign w:val="center"/>
          </w:tcPr>
          <w:p w14:paraId="7263E965" w14:textId="366D66F2" w:rsidR="008403B5" w:rsidRPr="008403B5" w:rsidRDefault="008403B5" w:rsidP="008403B5">
            <w:pPr>
              <w:jc w:val="center"/>
              <w:rPr>
                <w:bCs/>
                <w:sz w:val="20"/>
                <w:szCs w:val="20"/>
              </w:rPr>
            </w:pPr>
            <w:r w:rsidRPr="008403B5">
              <w:rPr>
                <w:bCs/>
                <w:sz w:val="20"/>
                <w:szCs w:val="20"/>
              </w:rPr>
              <w:t>Tužitelj</w:t>
            </w:r>
          </w:p>
        </w:tc>
        <w:tc>
          <w:tcPr>
            <w:tcW w:w="1007" w:type="dxa"/>
            <w:vAlign w:val="center"/>
          </w:tcPr>
          <w:p w14:paraId="7DFDC950" w14:textId="27F9994F" w:rsidR="008403B5" w:rsidRPr="008403B5" w:rsidRDefault="008403B5" w:rsidP="008403B5">
            <w:pPr>
              <w:jc w:val="center"/>
              <w:rPr>
                <w:bCs/>
                <w:sz w:val="20"/>
                <w:szCs w:val="20"/>
              </w:rPr>
            </w:pPr>
            <w:r w:rsidRPr="008403B5">
              <w:rPr>
                <w:bCs/>
                <w:sz w:val="20"/>
                <w:szCs w:val="20"/>
              </w:rPr>
              <w:t>Sažeti opis prirode spora</w:t>
            </w:r>
          </w:p>
        </w:tc>
        <w:tc>
          <w:tcPr>
            <w:tcW w:w="1007" w:type="dxa"/>
            <w:vAlign w:val="center"/>
          </w:tcPr>
          <w:p w14:paraId="0C210B8F" w14:textId="77FD56EC" w:rsidR="008403B5" w:rsidRPr="008403B5" w:rsidRDefault="008403B5" w:rsidP="008403B5">
            <w:pPr>
              <w:jc w:val="center"/>
              <w:rPr>
                <w:bCs/>
                <w:sz w:val="20"/>
                <w:szCs w:val="20"/>
              </w:rPr>
            </w:pPr>
            <w:r w:rsidRPr="008403B5">
              <w:rPr>
                <w:bCs/>
                <w:sz w:val="20"/>
                <w:szCs w:val="20"/>
              </w:rPr>
              <w:t>Iznos glavnice</w:t>
            </w:r>
          </w:p>
        </w:tc>
        <w:tc>
          <w:tcPr>
            <w:tcW w:w="1007" w:type="dxa"/>
            <w:vAlign w:val="center"/>
          </w:tcPr>
          <w:p w14:paraId="6AC52C69" w14:textId="2A18EA39" w:rsidR="008403B5" w:rsidRPr="008403B5" w:rsidRDefault="008403B5" w:rsidP="008403B5">
            <w:pPr>
              <w:jc w:val="center"/>
              <w:rPr>
                <w:bCs/>
                <w:sz w:val="20"/>
                <w:szCs w:val="20"/>
              </w:rPr>
            </w:pPr>
            <w:r w:rsidRPr="008403B5">
              <w:rPr>
                <w:bCs/>
                <w:sz w:val="20"/>
                <w:szCs w:val="20"/>
              </w:rPr>
              <w:t>Procjena financijskog učinka</w:t>
            </w:r>
          </w:p>
        </w:tc>
        <w:tc>
          <w:tcPr>
            <w:tcW w:w="1007" w:type="dxa"/>
            <w:vAlign w:val="center"/>
          </w:tcPr>
          <w:p w14:paraId="2945B294" w14:textId="79E02A87" w:rsidR="008403B5" w:rsidRPr="008403B5" w:rsidRDefault="008403B5" w:rsidP="008403B5">
            <w:pPr>
              <w:jc w:val="center"/>
              <w:rPr>
                <w:bCs/>
                <w:sz w:val="20"/>
                <w:szCs w:val="20"/>
              </w:rPr>
            </w:pPr>
            <w:r w:rsidRPr="008403B5">
              <w:rPr>
                <w:bCs/>
                <w:sz w:val="20"/>
                <w:szCs w:val="20"/>
              </w:rPr>
              <w:t>Procijenjeno vrijeme odljeva ili priljeva sredstava</w:t>
            </w:r>
          </w:p>
        </w:tc>
        <w:tc>
          <w:tcPr>
            <w:tcW w:w="1007" w:type="dxa"/>
            <w:vAlign w:val="center"/>
          </w:tcPr>
          <w:p w14:paraId="71E0AA1C" w14:textId="5C436B54" w:rsidR="008403B5" w:rsidRPr="008403B5" w:rsidRDefault="008403B5" w:rsidP="008403B5">
            <w:pPr>
              <w:jc w:val="center"/>
              <w:rPr>
                <w:bCs/>
                <w:sz w:val="20"/>
                <w:szCs w:val="20"/>
              </w:rPr>
            </w:pPr>
            <w:r w:rsidRPr="008403B5">
              <w:rPr>
                <w:bCs/>
                <w:sz w:val="20"/>
                <w:szCs w:val="20"/>
              </w:rPr>
              <w:t>Početak sudskog spora</w:t>
            </w:r>
          </w:p>
        </w:tc>
        <w:tc>
          <w:tcPr>
            <w:tcW w:w="1007" w:type="dxa"/>
            <w:vAlign w:val="center"/>
          </w:tcPr>
          <w:p w14:paraId="52EAE5EA" w14:textId="66D694DF" w:rsidR="008403B5" w:rsidRPr="008403B5" w:rsidRDefault="008403B5" w:rsidP="008403B5">
            <w:pPr>
              <w:jc w:val="center"/>
              <w:rPr>
                <w:bCs/>
                <w:sz w:val="20"/>
                <w:szCs w:val="20"/>
              </w:rPr>
            </w:pPr>
            <w:r w:rsidRPr="008403B5">
              <w:rPr>
                <w:bCs/>
                <w:sz w:val="20"/>
                <w:szCs w:val="20"/>
              </w:rPr>
              <w:t>Napomena</w:t>
            </w:r>
          </w:p>
        </w:tc>
      </w:tr>
      <w:tr w:rsidR="008403B5" w14:paraId="7D7915ED" w14:textId="77777777" w:rsidTr="008403B5">
        <w:tc>
          <w:tcPr>
            <w:tcW w:w="562" w:type="dxa"/>
          </w:tcPr>
          <w:p w14:paraId="77493717" w14:textId="77777777" w:rsidR="008403B5" w:rsidRDefault="008403B5" w:rsidP="0038225E">
            <w:pPr>
              <w:rPr>
                <w:bCs/>
              </w:rPr>
            </w:pPr>
          </w:p>
        </w:tc>
        <w:tc>
          <w:tcPr>
            <w:tcW w:w="1451" w:type="dxa"/>
          </w:tcPr>
          <w:p w14:paraId="4ED35E1F" w14:textId="77777777" w:rsidR="008403B5" w:rsidRDefault="008403B5" w:rsidP="0038225E">
            <w:pPr>
              <w:rPr>
                <w:bCs/>
              </w:rPr>
            </w:pPr>
          </w:p>
        </w:tc>
        <w:tc>
          <w:tcPr>
            <w:tcW w:w="1007" w:type="dxa"/>
          </w:tcPr>
          <w:p w14:paraId="1DCEB357" w14:textId="77777777" w:rsidR="008403B5" w:rsidRDefault="008403B5" w:rsidP="0038225E">
            <w:pPr>
              <w:rPr>
                <w:bCs/>
              </w:rPr>
            </w:pPr>
          </w:p>
        </w:tc>
        <w:tc>
          <w:tcPr>
            <w:tcW w:w="1007" w:type="dxa"/>
          </w:tcPr>
          <w:p w14:paraId="1DC2CF8C" w14:textId="77777777" w:rsidR="008403B5" w:rsidRDefault="008403B5" w:rsidP="0038225E">
            <w:pPr>
              <w:rPr>
                <w:bCs/>
              </w:rPr>
            </w:pPr>
          </w:p>
        </w:tc>
        <w:tc>
          <w:tcPr>
            <w:tcW w:w="1007" w:type="dxa"/>
          </w:tcPr>
          <w:p w14:paraId="55A0F783" w14:textId="77777777" w:rsidR="008403B5" w:rsidRDefault="008403B5" w:rsidP="0038225E">
            <w:pPr>
              <w:rPr>
                <w:bCs/>
              </w:rPr>
            </w:pPr>
          </w:p>
        </w:tc>
        <w:tc>
          <w:tcPr>
            <w:tcW w:w="1007" w:type="dxa"/>
          </w:tcPr>
          <w:p w14:paraId="1B444BA3" w14:textId="77777777" w:rsidR="008403B5" w:rsidRDefault="008403B5" w:rsidP="0038225E">
            <w:pPr>
              <w:rPr>
                <w:bCs/>
              </w:rPr>
            </w:pPr>
          </w:p>
        </w:tc>
        <w:tc>
          <w:tcPr>
            <w:tcW w:w="1007" w:type="dxa"/>
          </w:tcPr>
          <w:p w14:paraId="26166709" w14:textId="77777777" w:rsidR="008403B5" w:rsidRDefault="008403B5" w:rsidP="0038225E">
            <w:pPr>
              <w:rPr>
                <w:bCs/>
              </w:rPr>
            </w:pPr>
          </w:p>
        </w:tc>
        <w:tc>
          <w:tcPr>
            <w:tcW w:w="1007" w:type="dxa"/>
          </w:tcPr>
          <w:p w14:paraId="447B8E4C" w14:textId="77777777" w:rsidR="008403B5" w:rsidRDefault="008403B5" w:rsidP="0038225E">
            <w:pPr>
              <w:rPr>
                <w:bCs/>
              </w:rPr>
            </w:pPr>
          </w:p>
        </w:tc>
        <w:tc>
          <w:tcPr>
            <w:tcW w:w="1007" w:type="dxa"/>
          </w:tcPr>
          <w:p w14:paraId="530EE521" w14:textId="77777777" w:rsidR="008403B5" w:rsidRDefault="008403B5" w:rsidP="0038225E">
            <w:pPr>
              <w:rPr>
                <w:bCs/>
              </w:rPr>
            </w:pPr>
          </w:p>
        </w:tc>
      </w:tr>
      <w:tr w:rsidR="008403B5" w14:paraId="0214DB8E" w14:textId="77777777" w:rsidTr="008403B5">
        <w:tc>
          <w:tcPr>
            <w:tcW w:w="562" w:type="dxa"/>
          </w:tcPr>
          <w:p w14:paraId="294B175D" w14:textId="77777777" w:rsidR="008403B5" w:rsidRDefault="008403B5" w:rsidP="0038225E">
            <w:pPr>
              <w:rPr>
                <w:bCs/>
              </w:rPr>
            </w:pPr>
          </w:p>
        </w:tc>
        <w:tc>
          <w:tcPr>
            <w:tcW w:w="1451" w:type="dxa"/>
          </w:tcPr>
          <w:p w14:paraId="40CC24C6" w14:textId="77777777" w:rsidR="008403B5" w:rsidRDefault="008403B5" w:rsidP="0038225E">
            <w:pPr>
              <w:rPr>
                <w:bCs/>
              </w:rPr>
            </w:pPr>
          </w:p>
        </w:tc>
        <w:tc>
          <w:tcPr>
            <w:tcW w:w="1007" w:type="dxa"/>
          </w:tcPr>
          <w:p w14:paraId="72AB9F89" w14:textId="77777777" w:rsidR="008403B5" w:rsidRDefault="008403B5" w:rsidP="0038225E">
            <w:pPr>
              <w:rPr>
                <w:bCs/>
              </w:rPr>
            </w:pPr>
          </w:p>
        </w:tc>
        <w:tc>
          <w:tcPr>
            <w:tcW w:w="1007" w:type="dxa"/>
          </w:tcPr>
          <w:p w14:paraId="3D144248" w14:textId="77777777" w:rsidR="008403B5" w:rsidRDefault="008403B5" w:rsidP="0038225E">
            <w:pPr>
              <w:rPr>
                <w:bCs/>
              </w:rPr>
            </w:pPr>
          </w:p>
        </w:tc>
        <w:tc>
          <w:tcPr>
            <w:tcW w:w="1007" w:type="dxa"/>
          </w:tcPr>
          <w:p w14:paraId="4D3F9335" w14:textId="77777777" w:rsidR="008403B5" w:rsidRDefault="008403B5" w:rsidP="0038225E">
            <w:pPr>
              <w:rPr>
                <w:bCs/>
              </w:rPr>
            </w:pPr>
          </w:p>
        </w:tc>
        <w:tc>
          <w:tcPr>
            <w:tcW w:w="1007" w:type="dxa"/>
          </w:tcPr>
          <w:p w14:paraId="1AFF23EF" w14:textId="77777777" w:rsidR="008403B5" w:rsidRDefault="008403B5" w:rsidP="0038225E">
            <w:pPr>
              <w:rPr>
                <w:bCs/>
              </w:rPr>
            </w:pPr>
          </w:p>
        </w:tc>
        <w:tc>
          <w:tcPr>
            <w:tcW w:w="1007" w:type="dxa"/>
          </w:tcPr>
          <w:p w14:paraId="49124CD5" w14:textId="77777777" w:rsidR="008403B5" w:rsidRDefault="008403B5" w:rsidP="0038225E">
            <w:pPr>
              <w:rPr>
                <w:bCs/>
              </w:rPr>
            </w:pPr>
          </w:p>
        </w:tc>
        <w:tc>
          <w:tcPr>
            <w:tcW w:w="1007" w:type="dxa"/>
          </w:tcPr>
          <w:p w14:paraId="5E1A6C61" w14:textId="77777777" w:rsidR="008403B5" w:rsidRDefault="008403B5" w:rsidP="0038225E">
            <w:pPr>
              <w:rPr>
                <w:bCs/>
              </w:rPr>
            </w:pPr>
          </w:p>
        </w:tc>
        <w:tc>
          <w:tcPr>
            <w:tcW w:w="1007" w:type="dxa"/>
          </w:tcPr>
          <w:p w14:paraId="36BCBFBF" w14:textId="77777777" w:rsidR="008403B5" w:rsidRDefault="008403B5" w:rsidP="0038225E">
            <w:pPr>
              <w:rPr>
                <w:bCs/>
              </w:rPr>
            </w:pPr>
          </w:p>
        </w:tc>
      </w:tr>
    </w:tbl>
    <w:p w14:paraId="246601BF" w14:textId="7085A35D" w:rsidR="00B64E53" w:rsidRPr="00452A40" w:rsidRDefault="008403B5" w:rsidP="00B64E53">
      <w:pPr>
        <w:rPr>
          <w:b/>
          <w:bCs/>
        </w:rPr>
      </w:pPr>
      <w:bookmarkStart w:id="0" w:name="_GoBack"/>
      <w:bookmarkEnd w:id="0"/>
      <w:r w:rsidRPr="00452A40">
        <w:rPr>
          <w:b/>
          <w:bCs/>
        </w:rPr>
        <w:lastRenderedPageBreak/>
        <w:t>Bilješke uz obrazac PR-RAS</w:t>
      </w:r>
    </w:p>
    <w:p w14:paraId="32E281FB" w14:textId="36A14650" w:rsidR="00521068" w:rsidRDefault="00521068" w:rsidP="00B64E53">
      <w:pPr>
        <w:rPr>
          <w:bCs/>
        </w:rPr>
      </w:pPr>
    </w:p>
    <w:p w14:paraId="64133384" w14:textId="00EC5568" w:rsidR="00521068" w:rsidRDefault="00521068" w:rsidP="00B64E53">
      <w:pPr>
        <w:rPr>
          <w:bCs/>
        </w:rPr>
      </w:pPr>
      <w:r>
        <w:rPr>
          <w:bCs/>
        </w:rPr>
        <w:t>Do značajnijih odstupanja (+/- 10%) u odnosu na prethodnu godinu došlo je na slijedećim pozicijama:</w:t>
      </w:r>
    </w:p>
    <w:p w14:paraId="059530DB" w14:textId="477FEC45" w:rsidR="00521068" w:rsidRDefault="00521068" w:rsidP="00B64E53">
      <w:pPr>
        <w:rPr>
          <w:bCs/>
        </w:rPr>
      </w:pPr>
    </w:p>
    <w:p w14:paraId="1197E693" w14:textId="361D6750" w:rsidR="00521068" w:rsidRDefault="00521068" w:rsidP="00521068">
      <w:pPr>
        <w:pStyle w:val="Odlomakpopisa"/>
        <w:numPr>
          <w:ilvl w:val="0"/>
          <w:numId w:val="6"/>
        </w:numPr>
        <w:rPr>
          <w:bCs/>
        </w:rPr>
      </w:pPr>
      <w:r>
        <w:rPr>
          <w:bCs/>
        </w:rPr>
        <w:t>Šifra 6361 – povećani prihodi za isplatu plaća i materijalnih prava redovnih zaposlenika, izvanredan prihod od MZOM za obilježavanje 75. godišnjice škole, povećanje prihoda za prijevoz učenika s posebnim potrebama zbog većeg broja učenika i većih troškova prijevoza</w:t>
      </w:r>
    </w:p>
    <w:p w14:paraId="211126B4" w14:textId="52683B87" w:rsidR="00521068" w:rsidRDefault="00521068" w:rsidP="00521068">
      <w:pPr>
        <w:pStyle w:val="Odlomakpopisa"/>
        <w:numPr>
          <w:ilvl w:val="0"/>
          <w:numId w:val="6"/>
        </w:numPr>
        <w:rPr>
          <w:bCs/>
        </w:rPr>
      </w:pPr>
      <w:r>
        <w:rPr>
          <w:bCs/>
        </w:rPr>
        <w:t>Šifra 6</w:t>
      </w:r>
      <w:r w:rsidR="00B56253">
        <w:rPr>
          <w:bCs/>
        </w:rPr>
        <w:t>5</w:t>
      </w:r>
      <w:r>
        <w:rPr>
          <w:bCs/>
        </w:rPr>
        <w:t>26 – ostali nespomenuti prihodi – prihodi od učenika za izlete veći u odnosu na prethodnu godinu, prihodi od učenika za povećane troškove obrazovanja, uplate građana za monografiju</w:t>
      </w:r>
    </w:p>
    <w:p w14:paraId="44AA0A66" w14:textId="64386E24" w:rsidR="00521068" w:rsidRDefault="00521068" w:rsidP="00521068">
      <w:pPr>
        <w:pStyle w:val="Odlomakpopisa"/>
        <w:numPr>
          <w:ilvl w:val="0"/>
          <w:numId w:val="6"/>
        </w:numPr>
        <w:rPr>
          <w:bCs/>
        </w:rPr>
      </w:pPr>
      <w:r>
        <w:rPr>
          <w:bCs/>
        </w:rPr>
        <w:t>Šifra</w:t>
      </w:r>
      <w:r w:rsidR="00B56253">
        <w:rPr>
          <w:bCs/>
        </w:rPr>
        <w:t xml:space="preserve"> 6615 – povećanje zbog evidentiranih prihoda od učeničkog servisa koji je započeo s radom početkom 2024.g.</w:t>
      </w:r>
    </w:p>
    <w:p w14:paraId="63E64939" w14:textId="50667E66" w:rsidR="00B56253" w:rsidRDefault="00B56253" w:rsidP="00521068">
      <w:pPr>
        <w:pStyle w:val="Odlomakpopisa"/>
        <w:numPr>
          <w:ilvl w:val="0"/>
          <w:numId w:val="6"/>
        </w:numPr>
        <w:rPr>
          <w:bCs/>
        </w:rPr>
      </w:pPr>
      <w:r>
        <w:rPr>
          <w:bCs/>
        </w:rPr>
        <w:t xml:space="preserve">Šifra </w:t>
      </w:r>
      <w:r w:rsidR="007D1E50">
        <w:rPr>
          <w:bCs/>
        </w:rPr>
        <w:t>6631 – smanjenje primljenih donacija za troškove dnevnica za pratnju učenika na stručnim izletima</w:t>
      </w:r>
    </w:p>
    <w:p w14:paraId="070BDD22" w14:textId="4114C510" w:rsidR="007D1E50" w:rsidRDefault="007D1E50" w:rsidP="00521068">
      <w:pPr>
        <w:pStyle w:val="Odlomakpopisa"/>
        <w:numPr>
          <w:ilvl w:val="0"/>
          <w:numId w:val="6"/>
        </w:numPr>
        <w:rPr>
          <w:bCs/>
        </w:rPr>
      </w:pPr>
      <w:r>
        <w:rPr>
          <w:bCs/>
        </w:rPr>
        <w:t>Šifra 6632 – primljena donacija OSA – projektora</w:t>
      </w:r>
    </w:p>
    <w:p w14:paraId="4C62BA0C" w14:textId="77777777" w:rsidR="00CA7248" w:rsidRDefault="007D1E50" w:rsidP="00521068">
      <w:pPr>
        <w:pStyle w:val="Odlomakpopisa"/>
        <w:numPr>
          <w:ilvl w:val="0"/>
          <w:numId w:val="6"/>
        </w:numPr>
        <w:rPr>
          <w:bCs/>
        </w:rPr>
      </w:pPr>
      <w:r>
        <w:rPr>
          <w:bCs/>
        </w:rPr>
        <w:t xml:space="preserve">Šifra </w:t>
      </w:r>
      <w:r w:rsidR="00CA7248">
        <w:rPr>
          <w:bCs/>
        </w:rPr>
        <w:t>6711 – više sredstava od osnivača primljeno je zbog povećanja troškova poslovanja i većeg broja angažiranih pomoćnika u nastavi (veća masa plaća u odnosu na prethodnu godinu)</w:t>
      </w:r>
    </w:p>
    <w:p w14:paraId="21BD49E5" w14:textId="77777777" w:rsidR="00CA7248" w:rsidRDefault="00CA7248" w:rsidP="00521068">
      <w:pPr>
        <w:pStyle w:val="Odlomakpopisa"/>
        <w:numPr>
          <w:ilvl w:val="0"/>
          <w:numId w:val="6"/>
        </w:numPr>
        <w:rPr>
          <w:bCs/>
        </w:rPr>
      </w:pPr>
      <w:r>
        <w:rPr>
          <w:bCs/>
        </w:rPr>
        <w:t>Šifra 683 – ostali prihodi evidentirani prihodi iz prethodne godine</w:t>
      </w:r>
    </w:p>
    <w:p w14:paraId="54D8D79E" w14:textId="4331118F" w:rsidR="007D1E50" w:rsidRDefault="00CA7248" w:rsidP="00521068">
      <w:pPr>
        <w:pStyle w:val="Odlomakpopisa"/>
        <w:numPr>
          <w:ilvl w:val="0"/>
          <w:numId w:val="6"/>
        </w:numPr>
        <w:rPr>
          <w:bCs/>
        </w:rPr>
      </w:pPr>
      <w:r>
        <w:rPr>
          <w:bCs/>
        </w:rPr>
        <w:t xml:space="preserve">Šifra 3111 – plaće odstupanje zbog povećanja osnovice i koeficijenata za obračun plaće </w:t>
      </w:r>
    </w:p>
    <w:p w14:paraId="4C7B638E" w14:textId="75F77CAC" w:rsidR="00CA7248" w:rsidRDefault="00CA7248" w:rsidP="00521068">
      <w:pPr>
        <w:pStyle w:val="Odlomakpopisa"/>
        <w:numPr>
          <w:ilvl w:val="0"/>
          <w:numId w:val="6"/>
        </w:numPr>
        <w:rPr>
          <w:bCs/>
        </w:rPr>
      </w:pPr>
      <w:r>
        <w:rPr>
          <w:bCs/>
        </w:rPr>
        <w:t>Šifra 312 – veći broj isplaćenih pomoći i otpremnina za mirovinu</w:t>
      </w:r>
    </w:p>
    <w:p w14:paraId="3276B95D" w14:textId="5922DD23" w:rsidR="00CA7248" w:rsidRDefault="00CA7248" w:rsidP="00521068">
      <w:pPr>
        <w:pStyle w:val="Odlomakpopisa"/>
        <w:numPr>
          <w:ilvl w:val="0"/>
          <w:numId w:val="6"/>
        </w:numPr>
        <w:rPr>
          <w:bCs/>
        </w:rPr>
      </w:pPr>
      <w:r>
        <w:rPr>
          <w:bCs/>
        </w:rPr>
        <w:t>Šifra 3132 – povećana je masa isplaćenih doprinosa za obvezno zdravstveno osiguranje zbog veće mase bruto plaća</w:t>
      </w:r>
    </w:p>
    <w:p w14:paraId="298A65FA" w14:textId="7FFB76C4" w:rsidR="00CA7248" w:rsidRDefault="00CA7248" w:rsidP="00521068">
      <w:pPr>
        <w:pStyle w:val="Odlomakpopisa"/>
        <w:numPr>
          <w:ilvl w:val="0"/>
          <w:numId w:val="6"/>
        </w:numPr>
        <w:rPr>
          <w:bCs/>
        </w:rPr>
      </w:pPr>
      <w:r>
        <w:rPr>
          <w:bCs/>
        </w:rPr>
        <w:t>Šifra 321 – povećanje zbog povećanog broja službenih putovanja, troškova usavršavanja i povećanih troškova naknade prijevoza za zaposlenike (više pomoćnika i zaposlenika ostvaruje pravo na isplatu prijevoza u odnosu na prethodnu godinu)</w:t>
      </w:r>
    </w:p>
    <w:p w14:paraId="6D082DD1" w14:textId="55C9CECC" w:rsidR="00CA7248" w:rsidRDefault="00CA7248" w:rsidP="00521068">
      <w:pPr>
        <w:pStyle w:val="Odlomakpopisa"/>
        <w:numPr>
          <w:ilvl w:val="0"/>
          <w:numId w:val="6"/>
        </w:numPr>
        <w:rPr>
          <w:bCs/>
        </w:rPr>
      </w:pPr>
      <w:r>
        <w:rPr>
          <w:bCs/>
        </w:rPr>
        <w:t>Šifra 3223 – manji troškovi energenata zbog sklapanja ugovora sa Sveučilištem J. Dobrile – do sada smo naizmjence nabavljali gorivo, od 2024. sklopljen ugovor po kojem Škola nabavlja gorivo i traži refundaciju od Sveučilišta.</w:t>
      </w:r>
    </w:p>
    <w:p w14:paraId="3A0F3BE1" w14:textId="055306C4" w:rsidR="00CA7248" w:rsidRDefault="00CA7248" w:rsidP="00521068">
      <w:pPr>
        <w:pStyle w:val="Odlomakpopisa"/>
        <w:numPr>
          <w:ilvl w:val="0"/>
          <w:numId w:val="6"/>
        </w:numPr>
        <w:rPr>
          <w:bCs/>
        </w:rPr>
      </w:pPr>
      <w:r>
        <w:rPr>
          <w:bCs/>
        </w:rPr>
        <w:t xml:space="preserve">Šifra 3224 – smanjeni </w:t>
      </w:r>
      <w:r w:rsidR="00274438">
        <w:rPr>
          <w:bCs/>
        </w:rPr>
        <w:t>troškovi – smanjenje potreba za inv. održavanjem</w:t>
      </w:r>
    </w:p>
    <w:p w14:paraId="12624126" w14:textId="39123CFD" w:rsidR="00274438" w:rsidRDefault="00274438" w:rsidP="00521068">
      <w:pPr>
        <w:pStyle w:val="Odlomakpopisa"/>
        <w:numPr>
          <w:ilvl w:val="0"/>
          <w:numId w:val="6"/>
        </w:numPr>
        <w:rPr>
          <w:bCs/>
        </w:rPr>
      </w:pPr>
      <w:r>
        <w:rPr>
          <w:bCs/>
        </w:rPr>
        <w:t>Šifra 3225 – više nabavljeno sitnog inventara za potrebe nastave i redovnog poslovanja</w:t>
      </w:r>
    </w:p>
    <w:p w14:paraId="0BBA7F0B" w14:textId="4A36432A" w:rsidR="00274438" w:rsidRDefault="00274438" w:rsidP="00521068">
      <w:pPr>
        <w:pStyle w:val="Odlomakpopisa"/>
        <w:numPr>
          <w:ilvl w:val="0"/>
          <w:numId w:val="6"/>
        </w:numPr>
        <w:rPr>
          <w:bCs/>
        </w:rPr>
      </w:pPr>
      <w:r>
        <w:rPr>
          <w:bCs/>
        </w:rPr>
        <w:t>Šifra 3232 – manje utrošeno na usluge tekućeg i inv.održavanja</w:t>
      </w:r>
    </w:p>
    <w:p w14:paraId="1EBB78BA" w14:textId="7AA287DB" w:rsidR="00274438" w:rsidRDefault="00274438" w:rsidP="00521068">
      <w:pPr>
        <w:pStyle w:val="Odlomakpopisa"/>
        <w:numPr>
          <w:ilvl w:val="0"/>
          <w:numId w:val="6"/>
        </w:numPr>
        <w:rPr>
          <w:bCs/>
        </w:rPr>
      </w:pPr>
      <w:r>
        <w:rPr>
          <w:bCs/>
        </w:rPr>
        <w:t>Šifra 3233 – povećanje cijene hosting paketa</w:t>
      </w:r>
    </w:p>
    <w:p w14:paraId="4842C48F" w14:textId="39537A04" w:rsidR="00274438" w:rsidRDefault="00274438" w:rsidP="00521068">
      <w:pPr>
        <w:pStyle w:val="Odlomakpopisa"/>
        <w:numPr>
          <w:ilvl w:val="0"/>
          <w:numId w:val="6"/>
        </w:numPr>
        <w:rPr>
          <w:bCs/>
        </w:rPr>
      </w:pPr>
      <w:r>
        <w:rPr>
          <w:bCs/>
        </w:rPr>
        <w:t>Šifra 3234 – povećanje cijena odvoza smeća i ostalih komunalnih usluga</w:t>
      </w:r>
    </w:p>
    <w:p w14:paraId="527CB51B" w14:textId="3A4F57F0" w:rsidR="00274438" w:rsidRDefault="00274438" w:rsidP="00521068">
      <w:pPr>
        <w:pStyle w:val="Odlomakpopisa"/>
        <w:numPr>
          <w:ilvl w:val="0"/>
          <w:numId w:val="6"/>
        </w:numPr>
        <w:rPr>
          <w:bCs/>
        </w:rPr>
      </w:pPr>
      <w:r>
        <w:rPr>
          <w:bCs/>
        </w:rPr>
        <w:t>Šifra 3235 – veći broj sati nastave TZK i povećanje cijene najma fotokopirnog aparata</w:t>
      </w:r>
    </w:p>
    <w:p w14:paraId="10ED6177" w14:textId="311722E4" w:rsidR="00274438" w:rsidRDefault="00274438" w:rsidP="00521068">
      <w:pPr>
        <w:pStyle w:val="Odlomakpopisa"/>
        <w:numPr>
          <w:ilvl w:val="0"/>
          <w:numId w:val="6"/>
        </w:numPr>
        <w:rPr>
          <w:bCs/>
        </w:rPr>
      </w:pPr>
      <w:r>
        <w:rPr>
          <w:bCs/>
        </w:rPr>
        <w:t xml:space="preserve">Šifra </w:t>
      </w:r>
      <w:r w:rsidR="0037681A">
        <w:rPr>
          <w:bCs/>
        </w:rPr>
        <w:t xml:space="preserve">3237 </w:t>
      </w:r>
      <w:r w:rsidR="009A1F75">
        <w:rPr>
          <w:bCs/>
        </w:rPr>
        <w:t>–</w:t>
      </w:r>
      <w:r w:rsidR="0037681A">
        <w:rPr>
          <w:bCs/>
        </w:rPr>
        <w:t xml:space="preserve"> </w:t>
      </w:r>
      <w:r w:rsidR="009A1F75">
        <w:rPr>
          <w:bCs/>
        </w:rPr>
        <w:t>isplaćen je samo autorski honorar za ŽSV</w:t>
      </w:r>
    </w:p>
    <w:p w14:paraId="5FA25FDD" w14:textId="2CD7B9C5" w:rsidR="009A1F75" w:rsidRDefault="009A1F75" w:rsidP="00521068">
      <w:pPr>
        <w:pStyle w:val="Odlomakpopisa"/>
        <w:numPr>
          <w:ilvl w:val="0"/>
          <w:numId w:val="6"/>
        </w:numPr>
        <w:rPr>
          <w:bCs/>
        </w:rPr>
      </w:pPr>
      <w:r>
        <w:rPr>
          <w:bCs/>
        </w:rPr>
        <w:t>Šifra 324 – isplata učenicima za putne troškove na natjecanje</w:t>
      </w:r>
    </w:p>
    <w:p w14:paraId="6AFE803F" w14:textId="08DAAEAB" w:rsidR="009A1F75" w:rsidRDefault="009A1F75" w:rsidP="00521068">
      <w:pPr>
        <w:pStyle w:val="Odlomakpopisa"/>
        <w:numPr>
          <w:ilvl w:val="0"/>
          <w:numId w:val="6"/>
        </w:numPr>
        <w:rPr>
          <w:bCs/>
        </w:rPr>
      </w:pPr>
      <w:r>
        <w:rPr>
          <w:bCs/>
        </w:rPr>
        <w:t>Šifra 3293 – manja potreba za trošenjem za potrebe reprezentacije</w:t>
      </w:r>
    </w:p>
    <w:p w14:paraId="486B7B23" w14:textId="716980F8" w:rsidR="009A1F75" w:rsidRDefault="009A1F75" w:rsidP="00521068">
      <w:pPr>
        <w:pStyle w:val="Odlomakpopisa"/>
        <w:numPr>
          <w:ilvl w:val="0"/>
          <w:numId w:val="6"/>
        </w:numPr>
        <w:rPr>
          <w:bCs/>
        </w:rPr>
      </w:pPr>
      <w:r>
        <w:rPr>
          <w:bCs/>
        </w:rPr>
        <w:t>Šifra 3294 – više plaćene članarine i kotizacije</w:t>
      </w:r>
    </w:p>
    <w:p w14:paraId="7785A50C" w14:textId="3F2E11A0" w:rsidR="009A1F75" w:rsidRDefault="009A1F75" w:rsidP="00521068">
      <w:pPr>
        <w:pStyle w:val="Odlomakpopisa"/>
        <w:numPr>
          <w:ilvl w:val="0"/>
          <w:numId w:val="6"/>
        </w:numPr>
        <w:rPr>
          <w:bCs/>
        </w:rPr>
      </w:pPr>
      <w:r>
        <w:rPr>
          <w:bCs/>
        </w:rPr>
        <w:t>Šifra 3299 – ostali nespomenuti rashodi povećani zbog troškova izdavanja certifikata za e poslovanje</w:t>
      </w:r>
    </w:p>
    <w:p w14:paraId="6566F340" w14:textId="0E64BBE8" w:rsidR="009A1F75" w:rsidRDefault="009A1F75" w:rsidP="00521068">
      <w:pPr>
        <w:pStyle w:val="Odlomakpopisa"/>
        <w:numPr>
          <w:ilvl w:val="0"/>
          <w:numId w:val="6"/>
        </w:numPr>
        <w:rPr>
          <w:bCs/>
        </w:rPr>
      </w:pPr>
      <w:r>
        <w:rPr>
          <w:bCs/>
        </w:rPr>
        <w:t>Šifra 34 – povećani financijski troškovi zbog povećanja prometa po žiro-računu (posljedica veće naknade za platni promet) i plaćene kamate za kašnjenja u plaćanju računa (šifra 3433) zbog prijelaza na novi način prihodovanja sredstava od 1.1.24.</w:t>
      </w:r>
    </w:p>
    <w:p w14:paraId="49896D47" w14:textId="67EC457E" w:rsidR="00510D6F" w:rsidRDefault="00510D6F" w:rsidP="00521068">
      <w:pPr>
        <w:pStyle w:val="Odlomakpopisa"/>
        <w:numPr>
          <w:ilvl w:val="0"/>
          <w:numId w:val="6"/>
        </w:numPr>
        <w:rPr>
          <w:bCs/>
        </w:rPr>
      </w:pPr>
      <w:r>
        <w:rPr>
          <w:bCs/>
        </w:rPr>
        <w:t>Šifra 96 – obračunati prihodi za izdane izlazne fakture krajem 12/24 naplaćeni početkom godine 2025.</w:t>
      </w:r>
    </w:p>
    <w:p w14:paraId="6E32CE55" w14:textId="3D524ECE" w:rsidR="00510D6F" w:rsidRDefault="00510D6F" w:rsidP="00521068">
      <w:pPr>
        <w:pStyle w:val="Odlomakpopisa"/>
        <w:numPr>
          <w:ilvl w:val="0"/>
          <w:numId w:val="6"/>
        </w:numPr>
        <w:rPr>
          <w:bCs/>
        </w:rPr>
      </w:pPr>
      <w:r>
        <w:rPr>
          <w:bCs/>
        </w:rPr>
        <w:t>Šifra 4221 – primljena/nabavljena oprema za školu (prijenosna računala i i projektor)</w:t>
      </w:r>
    </w:p>
    <w:p w14:paraId="19A5F73A" w14:textId="434A9B6E" w:rsidR="00510D6F" w:rsidRDefault="00510D6F" w:rsidP="00521068">
      <w:pPr>
        <w:pStyle w:val="Odlomakpopisa"/>
        <w:numPr>
          <w:ilvl w:val="0"/>
          <w:numId w:val="6"/>
        </w:numPr>
        <w:rPr>
          <w:bCs/>
        </w:rPr>
      </w:pPr>
      <w:r>
        <w:rPr>
          <w:bCs/>
        </w:rPr>
        <w:lastRenderedPageBreak/>
        <w:t>Šifra 4223 – nabavljen ormar za punjenje i pohranu prijenosnih računala</w:t>
      </w:r>
    </w:p>
    <w:p w14:paraId="2039A7B9" w14:textId="055594B6" w:rsidR="00510D6F" w:rsidRDefault="00510D6F" w:rsidP="00521068">
      <w:pPr>
        <w:pStyle w:val="Odlomakpopisa"/>
        <w:numPr>
          <w:ilvl w:val="0"/>
          <w:numId w:val="6"/>
        </w:numPr>
        <w:rPr>
          <w:bCs/>
        </w:rPr>
      </w:pPr>
      <w:r>
        <w:rPr>
          <w:bCs/>
        </w:rPr>
        <w:t>Šifra 4241 – nabavljeno je više knjiga za knjižnicu (od Osnivača, MZOM i iz vlastitih prihoda), sukladno zahtjevima i potrebama učenika</w:t>
      </w:r>
    </w:p>
    <w:p w14:paraId="3F36ACF6" w14:textId="675D0E1D" w:rsidR="00510D6F" w:rsidRDefault="00510D6F" w:rsidP="00521068">
      <w:pPr>
        <w:pStyle w:val="Odlomakpopisa"/>
        <w:numPr>
          <w:ilvl w:val="0"/>
          <w:numId w:val="6"/>
        </w:numPr>
        <w:rPr>
          <w:bCs/>
        </w:rPr>
      </w:pPr>
      <w:r>
        <w:rPr>
          <w:bCs/>
        </w:rPr>
        <w:t>Šifra X006 – višak prihoda i primitaka raspoloživ u sljedećem razdoblju sastoji se od prenesenog viška prihoda iz prethodne godine (4.545,78 €),viška prihoda poslovanja tekuće godine (18.185,53 €) i manjka prihoda od nefinancijske imovine u tekućoj godini  (5.179,12 €).</w:t>
      </w:r>
    </w:p>
    <w:p w14:paraId="77F34DB1" w14:textId="4FE7F6BE" w:rsidR="00510D6F" w:rsidRPr="00521068" w:rsidRDefault="00510D6F" w:rsidP="00521068">
      <w:pPr>
        <w:pStyle w:val="Odlomakpopisa"/>
        <w:numPr>
          <w:ilvl w:val="0"/>
          <w:numId w:val="6"/>
        </w:numPr>
        <w:rPr>
          <w:bCs/>
        </w:rPr>
      </w:pPr>
      <w:r>
        <w:rPr>
          <w:bCs/>
        </w:rPr>
        <w:t>Šifra 19 – rashodi budućih razdoblja su plaće i naknade plaća za 12/24, veće zbog većeg broja zaposlenika i većih plaća u odnosu na isto razdoblje prethodne godine.</w:t>
      </w:r>
    </w:p>
    <w:p w14:paraId="0E9C82A9" w14:textId="77777777" w:rsidR="00B64E53" w:rsidRPr="00B64E53" w:rsidRDefault="00B64E53" w:rsidP="00B64E53">
      <w:pPr>
        <w:rPr>
          <w:bCs/>
        </w:rPr>
      </w:pPr>
    </w:p>
    <w:p w14:paraId="51E3EFBF" w14:textId="77777777" w:rsidR="00BF297E" w:rsidRDefault="00BF297E">
      <w:pPr>
        <w:ind w:left="1134" w:hanging="1134"/>
        <w:rPr>
          <w:b/>
        </w:rPr>
      </w:pPr>
    </w:p>
    <w:p w14:paraId="3E778489" w14:textId="181B1071" w:rsidR="00510D6F" w:rsidRDefault="00510D6F" w:rsidP="00510D6F">
      <w:pPr>
        <w:ind w:left="1134" w:hanging="1134"/>
        <w:rPr>
          <w:b/>
        </w:rPr>
      </w:pPr>
      <w:r>
        <w:rPr>
          <w:b/>
        </w:rPr>
        <w:t xml:space="preserve">Bilješke uz obrazac </w:t>
      </w:r>
      <w:r w:rsidR="00452A40">
        <w:rPr>
          <w:b/>
        </w:rPr>
        <w:t>RAS-funkcijski</w:t>
      </w:r>
    </w:p>
    <w:p w14:paraId="61527778" w14:textId="33BE2E2E" w:rsidR="00452A40" w:rsidRDefault="00452A40" w:rsidP="00510D6F">
      <w:pPr>
        <w:ind w:left="1134" w:hanging="1134"/>
        <w:rPr>
          <w:b/>
        </w:rPr>
      </w:pPr>
    </w:p>
    <w:p w14:paraId="21FE70A8" w14:textId="391A5475" w:rsidR="00452A40" w:rsidRDefault="00452A40" w:rsidP="00452A40">
      <w:pPr>
        <w:pStyle w:val="Odlomakpopisa"/>
        <w:numPr>
          <w:ilvl w:val="0"/>
          <w:numId w:val="7"/>
        </w:numPr>
      </w:pPr>
      <w:r w:rsidRPr="00452A40">
        <w:t xml:space="preserve">Šifra </w:t>
      </w:r>
      <w:r>
        <w:t>0922 – Ekonomska škola Pula je srednjoškolska ustanova s četverogodišnjim programima obrazovanja – svi su rashodi ostvareni u tekućoj godini iskazani na  funkciji Više srednjoškolsko obrazovanje</w:t>
      </w:r>
    </w:p>
    <w:p w14:paraId="4226DA48" w14:textId="2077EDB7" w:rsidR="00452A40" w:rsidRDefault="00452A40" w:rsidP="00452A40"/>
    <w:p w14:paraId="00FED8C2" w14:textId="7AF94683" w:rsidR="00452A40" w:rsidRDefault="00452A40" w:rsidP="00452A40">
      <w:pPr>
        <w:ind w:left="1134" w:hanging="1134"/>
        <w:rPr>
          <w:b/>
        </w:rPr>
      </w:pPr>
      <w:r>
        <w:rPr>
          <w:b/>
        </w:rPr>
        <w:t>Bilješke uz obrazac P-VRIO</w:t>
      </w:r>
    </w:p>
    <w:p w14:paraId="481310EA" w14:textId="1E7CCEA1" w:rsidR="00452A40" w:rsidRDefault="00452A40" w:rsidP="00452A40">
      <w:pPr>
        <w:ind w:left="1134" w:hanging="1134"/>
        <w:rPr>
          <w:b/>
        </w:rPr>
      </w:pPr>
    </w:p>
    <w:p w14:paraId="350FC65D" w14:textId="3EF94908" w:rsidR="00452A40" w:rsidRDefault="00452A40" w:rsidP="00452A40">
      <w:pPr>
        <w:pStyle w:val="Odlomakpopisa"/>
        <w:numPr>
          <w:ilvl w:val="0"/>
          <w:numId w:val="8"/>
        </w:numPr>
      </w:pPr>
      <w:r>
        <w:t>Šifra P018 – izvršen je prijenos sredstava iz vanbilančne evidencije u imovinu škole, koja se do sada vodila u evidenciji CARNET-a u sklopu projekta e-škole.</w:t>
      </w:r>
    </w:p>
    <w:p w14:paraId="7C739CFB" w14:textId="357DC529" w:rsidR="00452A40" w:rsidRDefault="00452A40" w:rsidP="00452A40"/>
    <w:p w14:paraId="178F557F" w14:textId="0721976C" w:rsidR="00452A40" w:rsidRDefault="00452A40" w:rsidP="00452A40">
      <w:pPr>
        <w:ind w:left="1134" w:hanging="1134"/>
        <w:rPr>
          <w:b/>
        </w:rPr>
      </w:pPr>
      <w:r>
        <w:rPr>
          <w:b/>
        </w:rPr>
        <w:t>Bilješke uz obrazac OBVEZE</w:t>
      </w:r>
    </w:p>
    <w:p w14:paraId="2EBABE9C" w14:textId="4D2F3F3D" w:rsidR="00452A40" w:rsidRDefault="00452A40" w:rsidP="00452A40">
      <w:pPr>
        <w:ind w:left="1134" w:hanging="1134"/>
        <w:rPr>
          <w:b/>
        </w:rPr>
      </w:pPr>
    </w:p>
    <w:p w14:paraId="2899D576" w14:textId="6ED37F48" w:rsidR="00452A40" w:rsidRDefault="00452A40" w:rsidP="00452A40">
      <w:pPr>
        <w:pStyle w:val="Odlomakpopisa"/>
        <w:numPr>
          <w:ilvl w:val="0"/>
          <w:numId w:val="9"/>
        </w:numPr>
      </w:pPr>
      <w:r>
        <w:t xml:space="preserve">Šifra V001 – stanje </w:t>
      </w:r>
      <w:r w:rsidR="00A6517E">
        <w:t>obveza 1.1.24. odnosi se na: plać</w:t>
      </w:r>
      <w:r>
        <w:t>e i naknade za mj</w:t>
      </w:r>
      <w:r w:rsidR="00A6517E">
        <w:t>esec prosinac 2023. =85.792,47; materijalne rashode =11.193,85; financijske rashode =111,69; i ostale tekuće obveze =7.928,66.</w:t>
      </w:r>
    </w:p>
    <w:p w14:paraId="42C6D8E8" w14:textId="2BF54E1E" w:rsidR="00A6517E" w:rsidRDefault="00A6517E" w:rsidP="00452A40">
      <w:pPr>
        <w:pStyle w:val="Odlomakpopisa"/>
        <w:numPr>
          <w:ilvl w:val="0"/>
          <w:numId w:val="9"/>
        </w:numPr>
      </w:pPr>
      <w:r>
        <w:t>Šifra V006 – stanje obveza na kraju izvještajnog razdoblja odnosi se na plaće za 12/24 = 106.164,72;  materijalne rashode =5.015,00; financijske rashode =133,44 i ostale obveze =7.768,74.</w:t>
      </w:r>
    </w:p>
    <w:p w14:paraId="7CC29422" w14:textId="144C315E" w:rsidR="00A6517E" w:rsidRPr="00452A40" w:rsidRDefault="00A6517E" w:rsidP="00452A40">
      <w:pPr>
        <w:pStyle w:val="Odlomakpopisa"/>
        <w:numPr>
          <w:ilvl w:val="0"/>
          <w:numId w:val="9"/>
        </w:numPr>
      </w:pPr>
      <w:r>
        <w:t>Šifra V007 – dospjele obveze odnosi se na greškom neplaćenu pretplatu na časopis u 2024.g.</w:t>
      </w:r>
    </w:p>
    <w:p w14:paraId="35018D1D" w14:textId="77777777" w:rsidR="00452A40" w:rsidRPr="00452A40" w:rsidRDefault="00452A40" w:rsidP="00452A40"/>
    <w:p w14:paraId="33E74DCA" w14:textId="77777777" w:rsidR="00452A40" w:rsidRPr="00452A40" w:rsidRDefault="00452A40" w:rsidP="00452A40"/>
    <w:p w14:paraId="2DAC7EAD" w14:textId="77777777" w:rsidR="00A6517E" w:rsidRDefault="00A6517E">
      <w:pPr>
        <w:ind w:left="1134" w:hanging="1134"/>
      </w:pPr>
    </w:p>
    <w:p w14:paraId="6FA61E29" w14:textId="77777777" w:rsidR="00A6517E" w:rsidRDefault="00A6517E">
      <w:pPr>
        <w:ind w:left="1134" w:hanging="1134"/>
      </w:pPr>
    </w:p>
    <w:p w14:paraId="0852F6C3" w14:textId="47C3FCF9" w:rsidR="00A56F5F" w:rsidRDefault="003D1B9B">
      <w:pPr>
        <w:ind w:left="1134" w:hanging="1134"/>
      </w:pPr>
      <w:r>
        <w:t>Pula, 31.01.202</w:t>
      </w:r>
      <w:r w:rsidR="00E43533">
        <w:t>5</w:t>
      </w:r>
      <w:r>
        <w:t>.</w:t>
      </w:r>
    </w:p>
    <w:p w14:paraId="71D15554" w14:textId="77777777" w:rsidR="00A56F5F" w:rsidRDefault="00A56F5F">
      <w:pPr>
        <w:ind w:left="1134" w:hanging="1134"/>
      </w:pPr>
    </w:p>
    <w:p w14:paraId="06C36417" w14:textId="77777777" w:rsidR="00A56F5F" w:rsidRDefault="00A56F5F">
      <w:pPr>
        <w:ind w:left="1134" w:hanging="1134"/>
      </w:pPr>
    </w:p>
    <w:p w14:paraId="10E3817A" w14:textId="77777777" w:rsidR="00A56F5F" w:rsidRDefault="00A56F5F">
      <w:pPr>
        <w:ind w:left="1134" w:hanging="1134"/>
      </w:pPr>
    </w:p>
    <w:p w14:paraId="02EAE4DD" w14:textId="77777777" w:rsidR="00A56F5F" w:rsidRDefault="003D1B9B">
      <w:pPr>
        <w:ind w:left="1134" w:hanging="1134"/>
      </w:pPr>
      <w:r>
        <w:tab/>
      </w:r>
      <w:r>
        <w:tab/>
      </w:r>
      <w:r>
        <w:tab/>
      </w:r>
    </w:p>
    <w:p w14:paraId="085AA6F7" w14:textId="77777777" w:rsidR="00A56F5F" w:rsidRDefault="003D1B9B">
      <w:pPr>
        <w:ind w:left="1134" w:hanging="1134"/>
      </w:pPr>
      <w:r>
        <w:tab/>
      </w:r>
      <w:r>
        <w:tab/>
      </w:r>
      <w:r>
        <w:tab/>
      </w:r>
      <w:r>
        <w:tab/>
      </w:r>
      <w:r>
        <w:tab/>
      </w:r>
      <w:r>
        <w:tab/>
      </w:r>
      <w:r>
        <w:tab/>
        <w:t>Ravnatelj:</w:t>
      </w:r>
    </w:p>
    <w:p w14:paraId="18C3F973" w14:textId="77777777" w:rsidR="00A56F5F" w:rsidRDefault="003D1B9B">
      <w:pPr>
        <w:ind w:left="1134" w:hanging="1134"/>
      </w:pPr>
      <w:r>
        <w:tab/>
      </w:r>
      <w:r>
        <w:tab/>
      </w:r>
      <w:r>
        <w:tab/>
      </w:r>
      <w:r>
        <w:tab/>
      </w:r>
      <w:r>
        <w:tab/>
      </w:r>
      <w:r>
        <w:tab/>
      </w:r>
      <w:r>
        <w:tab/>
        <w:t>_____________________</w:t>
      </w:r>
    </w:p>
    <w:p w14:paraId="31455F3A" w14:textId="4BC68893" w:rsidR="00A56F5F" w:rsidRDefault="003D1B9B">
      <w:pPr>
        <w:ind w:left="1134" w:hanging="1134"/>
      </w:pPr>
      <w:r>
        <w:tab/>
      </w:r>
      <w:r>
        <w:tab/>
      </w:r>
      <w:r>
        <w:tab/>
      </w:r>
      <w:r>
        <w:tab/>
      </w:r>
      <w:r>
        <w:tab/>
      </w:r>
      <w:r>
        <w:tab/>
      </w:r>
      <w:r>
        <w:tab/>
      </w:r>
      <w:r w:rsidR="00240472">
        <w:t xml:space="preserve">dr.sc. </w:t>
      </w:r>
      <w:r>
        <w:t>Petko Radulović</w:t>
      </w:r>
      <w:r>
        <w:tab/>
      </w:r>
    </w:p>
    <w:p w14:paraId="4D62EFFA" w14:textId="77777777" w:rsidR="00A56F5F" w:rsidRDefault="003D1B9B">
      <w:pPr>
        <w:ind w:left="1134" w:hanging="1134"/>
      </w:pPr>
      <w:r>
        <w:tab/>
      </w:r>
      <w:r>
        <w:tab/>
      </w:r>
      <w:r>
        <w:tab/>
      </w:r>
      <w:r>
        <w:tab/>
      </w:r>
      <w:r>
        <w:tab/>
      </w:r>
      <w:r>
        <w:tab/>
      </w:r>
      <w:r>
        <w:tab/>
      </w:r>
      <w:r>
        <w:tab/>
      </w:r>
    </w:p>
    <w:p w14:paraId="679D18FB" w14:textId="77777777" w:rsidR="00A56F5F" w:rsidRDefault="00A56F5F">
      <w:pPr>
        <w:ind w:left="1134" w:hanging="1134"/>
      </w:pPr>
    </w:p>
    <w:p w14:paraId="10D43E89" w14:textId="77777777" w:rsidR="00A56F5F" w:rsidRDefault="00A56F5F">
      <w:pPr>
        <w:ind w:left="1134" w:hanging="1134"/>
      </w:pPr>
    </w:p>
    <w:p w14:paraId="396FD015" w14:textId="77777777" w:rsidR="00A56F5F" w:rsidRDefault="00A56F5F">
      <w:pPr>
        <w:ind w:left="1134" w:hanging="1134"/>
      </w:pPr>
    </w:p>
    <w:sectPr w:rsidR="00A56F5F">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2A352" w14:textId="77777777" w:rsidR="00A013A3" w:rsidRDefault="00A013A3">
      <w:r>
        <w:separator/>
      </w:r>
    </w:p>
  </w:endnote>
  <w:endnote w:type="continuationSeparator" w:id="0">
    <w:p w14:paraId="7CF00DFD" w14:textId="77777777" w:rsidR="00A013A3" w:rsidRDefault="00A0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54E3B" w14:textId="77777777" w:rsidR="00A013A3" w:rsidRDefault="00A013A3">
      <w:r>
        <w:separator/>
      </w:r>
    </w:p>
  </w:footnote>
  <w:footnote w:type="continuationSeparator" w:id="0">
    <w:p w14:paraId="39904AFD" w14:textId="77777777" w:rsidR="00A013A3" w:rsidRDefault="00A013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568"/>
    <w:multiLevelType w:val="hybridMultilevel"/>
    <w:tmpl w:val="D6A4D8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796639"/>
    <w:multiLevelType w:val="hybridMultilevel"/>
    <w:tmpl w:val="E0CEF860"/>
    <w:lvl w:ilvl="0" w:tplc="DA101EF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CF11155"/>
    <w:multiLevelType w:val="multilevel"/>
    <w:tmpl w:val="1CF11155"/>
    <w:lvl w:ilvl="0">
      <w:numFmt w:val="bullet"/>
      <w:lvlText w:val="-"/>
      <w:lvlJc w:val="left"/>
      <w:pPr>
        <w:ind w:left="1500" w:hanging="360"/>
      </w:pPr>
      <w:rPr>
        <w:rFonts w:ascii="Times New Roman" w:eastAsia="Times New Roman" w:hAnsi="Times New Roman" w:cs="Times New Roman"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 w15:restartNumberingAfterBreak="0">
    <w:nsid w:val="3FDE72C0"/>
    <w:multiLevelType w:val="hybridMultilevel"/>
    <w:tmpl w:val="F0B4C6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9481714"/>
    <w:multiLevelType w:val="multilevel"/>
    <w:tmpl w:val="49481714"/>
    <w:lvl w:ilvl="0">
      <w:start w:val="2"/>
      <w:numFmt w:val="bullet"/>
      <w:lvlText w:val="-"/>
      <w:lvlJc w:val="left"/>
      <w:pPr>
        <w:ind w:left="1500" w:hanging="360"/>
      </w:pPr>
      <w:rPr>
        <w:rFonts w:ascii="Times New Roman" w:eastAsia="Times New Roman" w:hAnsi="Times New Roman" w:cs="Times New Roman"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 w15:restartNumberingAfterBreak="0">
    <w:nsid w:val="5588042E"/>
    <w:multiLevelType w:val="hybridMultilevel"/>
    <w:tmpl w:val="6F3E2E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E762742"/>
    <w:multiLevelType w:val="hybridMultilevel"/>
    <w:tmpl w:val="0A8257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58A2A24"/>
    <w:multiLevelType w:val="hybridMultilevel"/>
    <w:tmpl w:val="B22E286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76C6A6E"/>
    <w:multiLevelType w:val="hybridMultilevel"/>
    <w:tmpl w:val="AA96AF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7"/>
  </w:num>
  <w:num w:numId="5">
    <w:abstractNumId w:val="8"/>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2D"/>
    <w:rsid w:val="00000F01"/>
    <w:rsid w:val="000175D4"/>
    <w:rsid w:val="00020064"/>
    <w:rsid w:val="000313BA"/>
    <w:rsid w:val="00040369"/>
    <w:rsid w:val="00044CC5"/>
    <w:rsid w:val="00062CD5"/>
    <w:rsid w:val="00063105"/>
    <w:rsid w:val="00070646"/>
    <w:rsid w:val="00077049"/>
    <w:rsid w:val="00080598"/>
    <w:rsid w:val="000813B2"/>
    <w:rsid w:val="00087F97"/>
    <w:rsid w:val="000953B2"/>
    <w:rsid w:val="000A67D4"/>
    <w:rsid w:val="000A70F0"/>
    <w:rsid w:val="000B2F61"/>
    <w:rsid w:val="000B46B9"/>
    <w:rsid w:val="000C37F7"/>
    <w:rsid w:val="000E01C7"/>
    <w:rsid w:val="000E3A10"/>
    <w:rsid w:val="000F208B"/>
    <w:rsid w:val="00107A25"/>
    <w:rsid w:val="00121206"/>
    <w:rsid w:val="0013138B"/>
    <w:rsid w:val="00143B33"/>
    <w:rsid w:val="00147A5D"/>
    <w:rsid w:val="00157386"/>
    <w:rsid w:val="001577BA"/>
    <w:rsid w:val="00175D6E"/>
    <w:rsid w:val="00183530"/>
    <w:rsid w:val="00185D8A"/>
    <w:rsid w:val="00195F57"/>
    <w:rsid w:val="001A1FC8"/>
    <w:rsid w:val="001A30C6"/>
    <w:rsid w:val="001A4887"/>
    <w:rsid w:val="001C2843"/>
    <w:rsid w:val="001D1E50"/>
    <w:rsid w:val="001D3033"/>
    <w:rsid w:val="001F2E05"/>
    <w:rsid w:val="001F5AFB"/>
    <w:rsid w:val="001F61B8"/>
    <w:rsid w:val="002043C2"/>
    <w:rsid w:val="0021555B"/>
    <w:rsid w:val="0022674E"/>
    <w:rsid w:val="00240472"/>
    <w:rsid w:val="00245B80"/>
    <w:rsid w:val="0025382B"/>
    <w:rsid w:val="0026659A"/>
    <w:rsid w:val="00274438"/>
    <w:rsid w:val="0028282F"/>
    <w:rsid w:val="00286C94"/>
    <w:rsid w:val="00286E4B"/>
    <w:rsid w:val="002C083E"/>
    <w:rsid w:val="002C6FAC"/>
    <w:rsid w:val="002D61B0"/>
    <w:rsid w:val="002E48EC"/>
    <w:rsid w:val="002F2665"/>
    <w:rsid w:val="003154EA"/>
    <w:rsid w:val="00330F24"/>
    <w:rsid w:val="003449E1"/>
    <w:rsid w:val="00355389"/>
    <w:rsid w:val="00364019"/>
    <w:rsid w:val="00373556"/>
    <w:rsid w:val="0037681A"/>
    <w:rsid w:val="003806AB"/>
    <w:rsid w:val="003812C1"/>
    <w:rsid w:val="0038225E"/>
    <w:rsid w:val="003B06E5"/>
    <w:rsid w:val="003B77F3"/>
    <w:rsid w:val="003C3E98"/>
    <w:rsid w:val="003D1B9B"/>
    <w:rsid w:val="003D78D5"/>
    <w:rsid w:val="0040025C"/>
    <w:rsid w:val="00411C00"/>
    <w:rsid w:val="004124FD"/>
    <w:rsid w:val="0041458E"/>
    <w:rsid w:val="004277ED"/>
    <w:rsid w:val="004331ED"/>
    <w:rsid w:val="00433D6A"/>
    <w:rsid w:val="00442CF3"/>
    <w:rsid w:val="00447193"/>
    <w:rsid w:val="00452A40"/>
    <w:rsid w:val="004602B3"/>
    <w:rsid w:val="0046622D"/>
    <w:rsid w:val="00474F0C"/>
    <w:rsid w:val="0048007F"/>
    <w:rsid w:val="004A1692"/>
    <w:rsid w:val="004A5D6E"/>
    <w:rsid w:val="004B596A"/>
    <w:rsid w:val="004E583B"/>
    <w:rsid w:val="004F05F8"/>
    <w:rsid w:val="00510D6F"/>
    <w:rsid w:val="00521068"/>
    <w:rsid w:val="00533882"/>
    <w:rsid w:val="00542DA9"/>
    <w:rsid w:val="005554EB"/>
    <w:rsid w:val="00555757"/>
    <w:rsid w:val="00574A66"/>
    <w:rsid w:val="00576A39"/>
    <w:rsid w:val="00591F82"/>
    <w:rsid w:val="005B2933"/>
    <w:rsid w:val="005B5979"/>
    <w:rsid w:val="005B7F01"/>
    <w:rsid w:val="005C24DD"/>
    <w:rsid w:val="005C4209"/>
    <w:rsid w:val="005D6729"/>
    <w:rsid w:val="005E251F"/>
    <w:rsid w:val="0060370F"/>
    <w:rsid w:val="00604810"/>
    <w:rsid w:val="00612DD0"/>
    <w:rsid w:val="00614AF8"/>
    <w:rsid w:val="00624039"/>
    <w:rsid w:val="00627596"/>
    <w:rsid w:val="0063301E"/>
    <w:rsid w:val="00650C9B"/>
    <w:rsid w:val="006666CA"/>
    <w:rsid w:val="00670F07"/>
    <w:rsid w:val="00673D8C"/>
    <w:rsid w:val="0067676C"/>
    <w:rsid w:val="0069728C"/>
    <w:rsid w:val="00697876"/>
    <w:rsid w:val="006A67F0"/>
    <w:rsid w:val="00717D8E"/>
    <w:rsid w:val="00722A64"/>
    <w:rsid w:val="00723F3E"/>
    <w:rsid w:val="0073496C"/>
    <w:rsid w:val="007353F6"/>
    <w:rsid w:val="00737FCD"/>
    <w:rsid w:val="00744F4C"/>
    <w:rsid w:val="0075529B"/>
    <w:rsid w:val="00762746"/>
    <w:rsid w:val="00766A8B"/>
    <w:rsid w:val="00771B7F"/>
    <w:rsid w:val="0078564F"/>
    <w:rsid w:val="00787F3B"/>
    <w:rsid w:val="007A0A07"/>
    <w:rsid w:val="007A5B8C"/>
    <w:rsid w:val="007B2C9C"/>
    <w:rsid w:val="007B6FFF"/>
    <w:rsid w:val="007C427A"/>
    <w:rsid w:val="007C43DD"/>
    <w:rsid w:val="007C7E12"/>
    <w:rsid w:val="007D1E50"/>
    <w:rsid w:val="007D2AB8"/>
    <w:rsid w:val="007E71DC"/>
    <w:rsid w:val="00810060"/>
    <w:rsid w:val="00820C9A"/>
    <w:rsid w:val="008216EF"/>
    <w:rsid w:val="0082590E"/>
    <w:rsid w:val="00826B2C"/>
    <w:rsid w:val="008403B5"/>
    <w:rsid w:val="00843738"/>
    <w:rsid w:val="00852839"/>
    <w:rsid w:val="00882AC7"/>
    <w:rsid w:val="00885B75"/>
    <w:rsid w:val="008913DF"/>
    <w:rsid w:val="00892CD6"/>
    <w:rsid w:val="008934B2"/>
    <w:rsid w:val="008950B0"/>
    <w:rsid w:val="00897496"/>
    <w:rsid w:val="008B37A1"/>
    <w:rsid w:val="008D3A48"/>
    <w:rsid w:val="008D5074"/>
    <w:rsid w:val="008E2F67"/>
    <w:rsid w:val="009006AB"/>
    <w:rsid w:val="009116D6"/>
    <w:rsid w:val="00917B44"/>
    <w:rsid w:val="0093533C"/>
    <w:rsid w:val="00940780"/>
    <w:rsid w:val="00975554"/>
    <w:rsid w:val="00976C0D"/>
    <w:rsid w:val="009857A7"/>
    <w:rsid w:val="00992994"/>
    <w:rsid w:val="009A1F75"/>
    <w:rsid w:val="009B12B9"/>
    <w:rsid w:val="009B7170"/>
    <w:rsid w:val="009B74A0"/>
    <w:rsid w:val="009D0601"/>
    <w:rsid w:val="009E1C6E"/>
    <w:rsid w:val="009F15AA"/>
    <w:rsid w:val="00A00058"/>
    <w:rsid w:val="00A00462"/>
    <w:rsid w:val="00A011E2"/>
    <w:rsid w:val="00A013A3"/>
    <w:rsid w:val="00A10687"/>
    <w:rsid w:val="00A164EE"/>
    <w:rsid w:val="00A24BCB"/>
    <w:rsid w:val="00A34DD5"/>
    <w:rsid w:val="00A44BD3"/>
    <w:rsid w:val="00A56F5F"/>
    <w:rsid w:val="00A61BDF"/>
    <w:rsid w:val="00A61E67"/>
    <w:rsid w:val="00A65151"/>
    <w:rsid w:val="00A6517E"/>
    <w:rsid w:val="00A72F06"/>
    <w:rsid w:val="00A73873"/>
    <w:rsid w:val="00A83955"/>
    <w:rsid w:val="00A86552"/>
    <w:rsid w:val="00A920DB"/>
    <w:rsid w:val="00A95783"/>
    <w:rsid w:val="00A959DF"/>
    <w:rsid w:val="00A96F29"/>
    <w:rsid w:val="00AA1A40"/>
    <w:rsid w:val="00AB50F3"/>
    <w:rsid w:val="00AD74DB"/>
    <w:rsid w:val="00AE06B3"/>
    <w:rsid w:val="00AE7CCC"/>
    <w:rsid w:val="00AF19C2"/>
    <w:rsid w:val="00AF6DE7"/>
    <w:rsid w:val="00B03056"/>
    <w:rsid w:val="00B10A8F"/>
    <w:rsid w:val="00B31B09"/>
    <w:rsid w:val="00B47328"/>
    <w:rsid w:val="00B56253"/>
    <w:rsid w:val="00B57439"/>
    <w:rsid w:val="00B64E53"/>
    <w:rsid w:val="00B7658A"/>
    <w:rsid w:val="00B8129F"/>
    <w:rsid w:val="00B85E00"/>
    <w:rsid w:val="00BB3A07"/>
    <w:rsid w:val="00BD2A33"/>
    <w:rsid w:val="00BD5293"/>
    <w:rsid w:val="00BE7763"/>
    <w:rsid w:val="00BF27DF"/>
    <w:rsid w:val="00BF297E"/>
    <w:rsid w:val="00BF4E81"/>
    <w:rsid w:val="00C26372"/>
    <w:rsid w:val="00C4162E"/>
    <w:rsid w:val="00C61288"/>
    <w:rsid w:val="00C61345"/>
    <w:rsid w:val="00C6167F"/>
    <w:rsid w:val="00C70706"/>
    <w:rsid w:val="00C708F5"/>
    <w:rsid w:val="00C7577C"/>
    <w:rsid w:val="00C77200"/>
    <w:rsid w:val="00CA3170"/>
    <w:rsid w:val="00CA589C"/>
    <w:rsid w:val="00CA7248"/>
    <w:rsid w:val="00CB4E97"/>
    <w:rsid w:val="00CB644A"/>
    <w:rsid w:val="00CB7E03"/>
    <w:rsid w:val="00CC4491"/>
    <w:rsid w:val="00CD03DF"/>
    <w:rsid w:val="00CE5CC9"/>
    <w:rsid w:val="00CF14A3"/>
    <w:rsid w:val="00CF18F9"/>
    <w:rsid w:val="00CF78C0"/>
    <w:rsid w:val="00D46B25"/>
    <w:rsid w:val="00D61D06"/>
    <w:rsid w:val="00D649D6"/>
    <w:rsid w:val="00D74F9F"/>
    <w:rsid w:val="00D818DE"/>
    <w:rsid w:val="00D922B8"/>
    <w:rsid w:val="00DB1A47"/>
    <w:rsid w:val="00DB2EC5"/>
    <w:rsid w:val="00DC360C"/>
    <w:rsid w:val="00DC43F5"/>
    <w:rsid w:val="00DC4988"/>
    <w:rsid w:val="00DC7FF3"/>
    <w:rsid w:val="00DD4048"/>
    <w:rsid w:val="00DE19E8"/>
    <w:rsid w:val="00DF39D9"/>
    <w:rsid w:val="00DF604F"/>
    <w:rsid w:val="00E002F8"/>
    <w:rsid w:val="00E015BD"/>
    <w:rsid w:val="00E02123"/>
    <w:rsid w:val="00E20697"/>
    <w:rsid w:val="00E241A7"/>
    <w:rsid w:val="00E41387"/>
    <w:rsid w:val="00E43533"/>
    <w:rsid w:val="00E52D20"/>
    <w:rsid w:val="00E719CF"/>
    <w:rsid w:val="00EB2BDC"/>
    <w:rsid w:val="00EC701F"/>
    <w:rsid w:val="00ED50A7"/>
    <w:rsid w:val="00EF4931"/>
    <w:rsid w:val="00F03526"/>
    <w:rsid w:val="00F05930"/>
    <w:rsid w:val="00F14628"/>
    <w:rsid w:val="00F21BB7"/>
    <w:rsid w:val="00F350EC"/>
    <w:rsid w:val="00F36786"/>
    <w:rsid w:val="00F423FD"/>
    <w:rsid w:val="00F43BEF"/>
    <w:rsid w:val="00F52EBA"/>
    <w:rsid w:val="00F558D8"/>
    <w:rsid w:val="00F604EE"/>
    <w:rsid w:val="00F61250"/>
    <w:rsid w:val="00F96814"/>
    <w:rsid w:val="00F9794D"/>
    <w:rsid w:val="00FA2358"/>
    <w:rsid w:val="00FA7EA4"/>
    <w:rsid w:val="00FB42F8"/>
    <w:rsid w:val="00FB4DF2"/>
    <w:rsid w:val="00FC2594"/>
    <w:rsid w:val="00FC3E03"/>
    <w:rsid w:val="00FF0A8C"/>
    <w:rsid w:val="7FB711E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977F"/>
  <w15:docId w15:val="{B573A3A3-A788-4444-9EFE-133C7153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lang w:eastAsia="it-IT"/>
    </w:rPr>
  </w:style>
  <w:style w:type="paragraph" w:styleId="Naslov4">
    <w:name w:val="heading 4"/>
    <w:basedOn w:val="Normal"/>
    <w:next w:val="Normal"/>
    <w:link w:val="Naslov4Char"/>
    <w:qFormat/>
    <w:pPr>
      <w:keepNext/>
      <w:overflowPunct w:val="0"/>
      <w:autoSpaceDE w:val="0"/>
      <w:autoSpaceDN w:val="0"/>
      <w:adjustRightInd w:val="0"/>
      <w:ind w:left="1276" w:hanging="1276"/>
      <w:jc w:val="both"/>
      <w:textAlignment w:val="baseline"/>
      <w:outlineLvl w:val="3"/>
    </w:pPr>
    <w:rPr>
      <w:b/>
      <w:sz w:val="22"/>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rPr>
      <w:rFonts w:ascii="Segoe UI" w:hAnsi="Segoe UI" w:cs="Segoe UI"/>
      <w:sz w:val="18"/>
      <w:szCs w:val="18"/>
    </w:rPr>
  </w:style>
  <w:style w:type="character" w:customStyle="1" w:styleId="Naslov4Char">
    <w:name w:val="Naslov 4 Char"/>
    <w:basedOn w:val="Zadanifontodlomka"/>
    <w:link w:val="Naslov4"/>
    <w:qFormat/>
    <w:rPr>
      <w:rFonts w:ascii="Times New Roman" w:eastAsia="Times New Roman" w:hAnsi="Times New Roman" w:cs="Times New Roman"/>
      <w:b/>
      <w:szCs w:val="20"/>
      <w:lang w:eastAsia="it-IT"/>
    </w:rPr>
  </w:style>
  <w:style w:type="paragraph" w:styleId="Odlomakpopisa">
    <w:name w:val="List Paragraph"/>
    <w:basedOn w:val="Normal"/>
    <w:uiPriority w:val="34"/>
    <w:qFormat/>
    <w:pPr>
      <w:ind w:left="720"/>
      <w:contextualSpacing/>
    </w:pPr>
  </w:style>
  <w:style w:type="character" w:customStyle="1" w:styleId="TekstbaloniaChar">
    <w:name w:val="Tekst balončića Char"/>
    <w:basedOn w:val="Zadanifontodlomka"/>
    <w:link w:val="Tekstbalonia"/>
    <w:uiPriority w:val="99"/>
    <w:semiHidden/>
    <w:qFormat/>
    <w:rPr>
      <w:rFonts w:ascii="Segoe UI" w:eastAsia="Times New Roman" w:hAnsi="Segoe UI" w:cs="Segoe UI"/>
      <w:sz w:val="18"/>
      <w:szCs w:val="18"/>
      <w:lang w:eastAsia="it-IT"/>
    </w:rPr>
  </w:style>
  <w:style w:type="table" w:styleId="Reetkatablice">
    <w:name w:val="Table Grid"/>
    <w:basedOn w:val="Obinatablica"/>
    <w:uiPriority w:val="59"/>
    <w:rsid w:val="00382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3DECB-12DF-42EB-A080-5BD7F6BA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1460</Words>
  <Characters>8326</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Windows korisnik</cp:lastModifiedBy>
  <cp:revision>3</cp:revision>
  <cp:lastPrinted>2025-01-31T12:39:00Z</cp:lastPrinted>
  <dcterms:created xsi:type="dcterms:W3CDTF">2025-01-31T12:22:00Z</dcterms:created>
  <dcterms:modified xsi:type="dcterms:W3CDTF">2025-01-31T12:41:00Z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38C662351D274DF685D1030C6710A722_13</vt:lpwstr>
  </property>
</Properties>
</file>